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93621280"/>
        <w:docPartObj>
          <w:docPartGallery w:val="Cover Pages"/>
          <w:docPartUnique/>
        </w:docPartObj>
      </w:sdtPr>
      <w:sdtEndPr/>
      <w:sdtContent>
        <w:p w:rsidR="00484914" w:rsidRDefault="000765C0">
          <w:r>
            <w:rPr>
              <w:noProof/>
              <w:color w:val="1048B8"/>
              <w:lang w:eastAsia="en-GB"/>
            </w:rPr>
            <w:drawing>
              <wp:anchor distT="0" distB="0" distL="114300" distR="114300" simplePos="0" relativeHeight="251661312" behindDoc="1" locked="0" layoutInCell="1" allowOverlap="1" wp14:anchorId="1F9C32DC" wp14:editId="4657E488">
                <wp:simplePos x="0" y="0"/>
                <wp:positionH relativeFrom="column">
                  <wp:posOffset>2889250</wp:posOffset>
                </wp:positionH>
                <wp:positionV relativeFrom="paragraph">
                  <wp:posOffset>-83820</wp:posOffset>
                </wp:positionV>
                <wp:extent cx="3187700" cy="1206500"/>
                <wp:effectExtent l="0" t="0" r="0" b="0"/>
                <wp:wrapTight wrapText="bothSides">
                  <wp:wrapPolygon edited="0">
                    <wp:start x="0" y="0"/>
                    <wp:lineTo x="0" y="21145"/>
                    <wp:lineTo x="21428" y="21145"/>
                    <wp:lineTo x="2142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914" w:rsidRDefault="00484914"/>
        <w:tbl>
          <w:tblPr>
            <w:tblpPr w:leftFromText="180" w:rightFromText="180" w:vertAnchor="page" w:horzAnchor="margin" w:tblpY="3641"/>
            <w:tblW w:w="5000" w:type="pct"/>
            <w:tblLook w:val="04A0" w:firstRow="1" w:lastRow="0" w:firstColumn="1" w:lastColumn="0" w:noHBand="0" w:noVBand="1"/>
          </w:tblPr>
          <w:tblGrid>
            <w:gridCol w:w="9026"/>
          </w:tblGrid>
          <w:tr w:rsidR="00922C22" w:rsidTr="00922C22">
            <w:trPr>
              <w:trHeight w:val="2880"/>
            </w:trPr>
            <w:tc>
              <w:tcPr>
                <w:tcW w:w="5000" w:type="pct"/>
              </w:tcPr>
              <w:p w:rsidR="00922C22" w:rsidRDefault="00922C22" w:rsidP="00540257">
                <w:pPr>
                  <w:pStyle w:val="NoSpacing"/>
                  <w:jc w:val="center"/>
                  <w:rPr>
                    <w:rFonts w:asciiTheme="majorHAnsi" w:eastAsiaTheme="majorEastAsia" w:hAnsiTheme="majorHAnsi" w:cstheme="majorBidi"/>
                    <w:caps/>
                  </w:rPr>
                </w:pPr>
              </w:p>
              <w:p w:rsidR="00E361A4" w:rsidRDefault="00E361A4" w:rsidP="00540257">
                <w:pPr>
                  <w:pStyle w:val="NoSpacing"/>
                  <w:jc w:val="center"/>
                  <w:rPr>
                    <w:rFonts w:asciiTheme="majorHAnsi" w:eastAsiaTheme="majorEastAsia" w:hAnsiTheme="majorHAnsi" w:cstheme="majorBidi"/>
                    <w:caps/>
                  </w:rPr>
                </w:pPr>
              </w:p>
            </w:tc>
          </w:tr>
          <w:tr w:rsidR="00922C22" w:rsidTr="00922C22">
            <w:trPr>
              <w:trHeight w:val="1440"/>
            </w:trPr>
            <w:sdt>
              <w:sdtPr>
                <w:rPr>
                  <w:rFonts w:ascii="Frutiger Bold" w:eastAsiaTheme="majorEastAsia" w:hAnsi="Frutiger Bold" w:cstheme="majorBidi"/>
                  <w:b/>
                  <w:sz w:val="52"/>
                  <w:szCs w:val="5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22C22" w:rsidRDefault="00903079" w:rsidP="00903079">
                    <w:pPr>
                      <w:pStyle w:val="NoSpacing"/>
                      <w:rPr>
                        <w:rFonts w:asciiTheme="majorHAnsi" w:eastAsiaTheme="majorEastAsia" w:hAnsiTheme="majorHAnsi" w:cstheme="majorBidi"/>
                        <w:sz w:val="80"/>
                        <w:szCs w:val="80"/>
                      </w:rPr>
                    </w:pPr>
                    <w:r>
                      <w:rPr>
                        <w:rFonts w:ascii="Frutiger Bold" w:eastAsiaTheme="majorEastAsia" w:hAnsi="Frutiger Bold" w:cstheme="majorBidi"/>
                        <w:b/>
                        <w:sz w:val="52"/>
                        <w:szCs w:val="52"/>
                      </w:rPr>
                      <w:t>Advance Directives Protocol &amp; Patient Leaflet</w:t>
                    </w:r>
                  </w:p>
                </w:tc>
              </w:sdtContent>
            </w:sdt>
          </w:tr>
          <w:tr w:rsidR="00922C22" w:rsidTr="00922C22">
            <w:trPr>
              <w:trHeight w:val="720"/>
            </w:trPr>
            <w:sdt>
              <w:sdtPr>
                <w:rPr>
                  <w:rFonts w:ascii="Frutiger Bold" w:eastAsiaTheme="majorEastAsia" w:hAnsi="Frutiger Bold"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22C22" w:rsidRDefault="003D544C" w:rsidP="002D3C02">
                    <w:pPr>
                      <w:pStyle w:val="NoSpacing"/>
                      <w:rPr>
                        <w:rFonts w:asciiTheme="majorHAnsi" w:eastAsiaTheme="majorEastAsia" w:hAnsiTheme="majorHAnsi" w:cstheme="majorBidi"/>
                        <w:sz w:val="44"/>
                        <w:szCs w:val="44"/>
                      </w:rPr>
                    </w:pPr>
                    <w:r>
                      <w:rPr>
                        <w:rFonts w:ascii="Frutiger Bold" w:eastAsiaTheme="majorEastAsia" w:hAnsi="Frutiger Bold" w:cstheme="majorBidi"/>
                        <w:sz w:val="44"/>
                        <w:szCs w:val="44"/>
                      </w:rPr>
                      <w:t>Version 2.0</w:t>
                    </w:r>
                  </w:p>
                </w:tc>
              </w:sdtContent>
            </w:sdt>
          </w:tr>
          <w:tr w:rsidR="00922C22" w:rsidTr="00922C22">
            <w:trPr>
              <w:trHeight w:val="360"/>
            </w:trPr>
            <w:tc>
              <w:tcPr>
                <w:tcW w:w="5000" w:type="pct"/>
                <w:vAlign w:val="center"/>
              </w:tcPr>
              <w:p w:rsidR="00922C22" w:rsidRDefault="00922C22" w:rsidP="0056032D">
                <w:pPr>
                  <w:pStyle w:val="NoSpacing"/>
                </w:pPr>
              </w:p>
            </w:tc>
          </w:tr>
          <w:tr w:rsidR="00922C22" w:rsidTr="00922C22">
            <w:trPr>
              <w:trHeight w:val="360"/>
            </w:trPr>
            <w:tc>
              <w:tcPr>
                <w:tcW w:w="5000" w:type="pct"/>
                <w:vAlign w:val="center"/>
              </w:tcPr>
              <w:p w:rsidR="00922C22" w:rsidRDefault="004A491C" w:rsidP="0056032D">
                <w:pPr>
                  <w:pStyle w:val="NoSpacing"/>
                  <w:rPr>
                    <w:b/>
                    <w:bCs/>
                  </w:rPr>
                </w:p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56032D">
                      <w:rPr>
                        <w:b/>
                        <w:bCs/>
                      </w:rPr>
                      <w:t>Turner Martin (Mr)</w:t>
                    </w:r>
                  </w:sdtContent>
                </w:sdt>
              </w:p>
              <w:p w:rsidR="0056032D" w:rsidRDefault="008F4959" w:rsidP="001E3ACC">
                <w:pPr>
                  <w:pStyle w:val="NoSpacing"/>
                  <w:rPr>
                    <w:b/>
                    <w:bCs/>
                  </w:rPr>
                </w:pPr>
                <w:r>
                  <w:rPr>
                    <w:b/>
                    <w:bCs/>
                  </w:rPr>
                  <w:t>23 September</w:t>
                </w:r>
                <w:r w:rsidR="0056032D">
                  <w:rPr>
                    <w:b/>
                    <w:bCs/>
                  </w:rPr>
                  <w:t xml:space="preserve"> 2020</w:t>
                </w:r>
              </w:p>
            </w:tc>
          </w:tr>
          <w:tr w:rsidR="00922C22" w:rsidTr="00922C22">
            <w:trPr>
              <w:trHeight w:val="360"/>
            </w:trPr>
            <w:tc>
              <w:tcPr>
                <w:tcW w:w="5000" w:type="pct"/>
                <w:vAlign w:val="center"/>
              </w:tcPr>
              <w:p w:rsidR="00922C22" w:rsidRDefault="00922C2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Pr="002D3C02" w:rsidRDefault="002D3C02" w:rsidP="002D3C02">
                <w:pPr>
                  <w:rPr>
                    <w:rFonts w:ascii="Frutiger Bold" w:hAnsi="Frutiger Bold"/>
                    <w:b/>
                    <w:bCs/>
                    <w:sz w:val="28"/>
                    <w:szCs w:val="28"/>
                  </w:rPr>
                </w:pPr>
                <w:r w:rsidRPr="002D3C02">
                  <w:rPr>
                    <w:rFonts w:ascii="Frutiger Bold" w:hAnsi="Frutiger Bold"/>
                    <w:b/>
                    <w:bCs/>
                    <w:sz w:val="28"/>
                    <w:szCs w:val="28"/>
                  </w:rPr>
                  <w:t>A. Confidentiality Notice</w:t>
                </w:r>
              </w:p>
            </w:tc>
          </w:tr>
        </w:tbl>
        <w:tbl>
          <w:tblPr>
            <w:tblpPr w:leftFromText="187" w:rightFromText="187" w:vertAnchor="page" w:horzAnchor="margin" w:tblpY="12916"/>
            <w:tblW w:w="5000" w:type="pct"/>
            <w:tblLook w:val="04A0" w:firstRow="1" w:lastRow="0" w:firstColumn="1" w:lastColumn="0" w:noHBand="0" w:noVBand="1"/>
          </w:tblPr>
          <w:tblGrid>
            <w:gridCol w:w="9026"/>
          </w:tblGrid>
          <w:tr w:rsidR="00903079" w:rsidTr="00903079">
            <w:sdt>
              <w:sdtPr>
                <w:rPr>
                  <w:rFonts w:cstheme="minorHAnsi"/>
                  <w:szCs w:val="24"/>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903079" w:rsidRPr="002D3C02" w:rsidRDefault="00903079" w:rsidP="00903079">
                    <w:pPr>
                      <w:pStyle w:val="NoSpacing"/>
                      <w:jc w:val="both"/>
                      <w:rPr>
                        <w:rFonts w:cstheme="minorHAnsi"/>
                      </w:rPr>
                    </w:pPr>
                    <w:r w:rsidRPr="002D3C02">
                      <w:rPr>
                        <w:rFonts w:cstheme="minorHAnsi"/>
                        <w:szCs w:val="24"/>
                      </w:rPr>
                      <w:t xml:space="preserve">Confidentiality Notice. </w:t>
                    </w:r>
                    <w:r w:rsidRPr="002D3C02">
                      <w:rPr>
                        <w:rFonts w:cstheme="minorHAnsi"/>
                      </w:rPr>
                      <w:t xml:space="preserve">This document and the information contained therein is the property of Staveleigh Medical Centre. This document contains information that is privileged, confidential or otherwise protected from disclosure. It </w:t>
                    </w:r>
                    <w:proofErr w:type="gramStart"/>
                    <w:r w:rsidRPr="002D3C02">
                      <w:rPr>
                        <w:rFonts w:cstheme="minorHAnsi"/>
                      </w:rPr>
                      <w:t>must not be used</w:t>
                    </w:r>
                    <w:proofErr w:type="gramEnd"/>
                    <w:r w:rsidRPr="002D3C02">
                      <w:rPr>
                        <w:rFonts w:cstheme="minorHAnsi"/>
                      </w:rPr>
                      <w:t xml:space="preserve"> by, or its contents reproduced or otherwise copied or disclosed without the prior consent in writing from Staveleigh Medical Centre.</w:t>
                    </w:r>
                  </w:p>
                </w:tc>
              </w:sdtContent>
            </w:sdt>
          </w:tr>
        </w:tbl>
        <w:p w:rsidR="0056032D" w:rsidRDefault="00922C22" w:rsidP="0056032D">
          <w:r w:rsidRPr="00922C22">
            <w:rPr>
              <w:color w:val="1048B8"/>
            </w:rPr>
            <w:t xml:space="preserve"> </w:t>
          </w:r>
        </w:p>
        <w:p w:rsidR="00C3742B" w:rsidRPr="002D3C02" w:rsidRDefault="00484914">
          <w:pPr>
            <w:rPr>
              <w:color w:val="1048B8"/>
            </w:rPr>
          </w:pPr>
          <w:r w:rsidRPr="00922C22">
            <w:rPr>
              <w:color w:val="1048B8"/>
            </w:rPr>
            <w:br w:type="page"/>
          </w:r>
        </w:p>
      </w:sdtContent>
    </w:sdt>
    <w:p w:rsidR="002D3C02" w:rsidRDefault="002D3C02" w:rsidP="002D3C02">
      <w:pPr>
        <w:rPr>
          <w:rFonts w:ascii="Frutiger Bold" w:hAnsi="Frutiger Bold"/>
          <w:sz w:val="28"/>
          <w:szCs w:val="28"/>
        </w:rPr>
      </w:pPr>
      <w:r>
        <w:rPr>
          <w:rFonts w:ascii="Frutiger Bold" w:hAnsi="Frutiger Bold"/>
          <w:sz w:val="28"/>
          <w:szCs w:val="28"/>
        </w:rPr>
        <w:lastRenderedPageBreak/>
        <w:t>B. Contents</w:t>
      </w:r>
    </w:p>
    <w:tbl>
      <w:tblPr>
        <w:tblStyle w:val="TableGrid"/>
        <w:tblW w:w="0" w:type="auto"/>
        <w:tblLook w:val="04A0" w:firstRow="1" w:lastRow="0" w:firstColumn="1" w:lastColumn="0" w:noHBand="0" w:noVBand="1"/>
      </w:tblPr>
      <w:tblGrid>
        <w:gridCol w:w="806"/>
        <w:gridCol w:w="6907"/>
        <w:gridCol w:w="1303"/>
      </w:tblGrid>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C.</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Document Details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D.</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Document Revision &amp; Approval history</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E.</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Definitions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F.</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Persons Whom Policy Applies to</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G.</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Responsible Office</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H.</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Introduction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I.</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Practice Statement</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J.</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Operational Implementation &amp; Procedures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3</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K.</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Statement Publication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5</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L.</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Additional Information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5</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M.</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References &amp; Further Resources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5</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N.</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Appendices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5</w:t>
            </w:r>
          </w:p>
        </w:tc>
      </w:tr>
    </w:tbl>
    <w:p w:rsidR="002D3C02" w:rsidRDefault="002D3C02">
      <w:pPr>
        <w:rPr>
          <w:rFonts w:ascii="Frutiger Bold" w:hAnsi="Frutiger Bold"/>
          <w:sz w:val="28"/>
          <w:szCs w:val="28"/>
        </w:rPr>
      </w:pPr>
      <w:bookmarkStart w:id="0" w:name="_GoBack"/>
      <w:bookmarkEnd w:id="0"/>
    </w:p>
    <w:p w:rsidR="000765C0" w:rsidRDefault="002D3C02">
      <w:pPr>
        <w:rPr>
          <w:rFonts w:ascii="Frutiger Bold" w:hAnsi="Frutiger Bold"/>
          <w:sz w:val="28"/>
          <w:szCs w:val="28"/>
        </w:rPr>
      </w:pPr>
      <w:r>
        <w:rPr>
          <w:rFonts w:ascii="Frutiger Bold" w:hAnsi="Frutiger Bold"/>
          <w:sz w:val="28"/>
          <w:szCs w:val="28"/>
        </w:rPr>
        <w:t>C. Document Details</w:t>
      </w:r>
    </w:p>
    <w:p w:rsidR="000765C0" w:rsidRDefault="000765C0"/>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Classification:</w:t>
            </w:r>
          </w:p>
        </w:tc>
        <w:tc>
          <w:tcPr>
            <w:tcW w:w="6057" w:type="dxa"/>
            <w:shd w:val="clear" w:color="auto" w:fill="auto"/>
          </w:tcPr>
          <w:p w:rsidR="002D3C02" w:rsidRPr="002D3C02" w:rsidRDefault="008F4959" w:rsidP="00E33A42">
            <w:r>
              <w:t>Protocol</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Author and Role:</w:t>
            </w:r>
          </w:p>
        </w:tc>
        <w:tc>
          <w:tcPr>
            <w:tcW w:w="6057" w:type="dxa"/>
            <w:shd w:val="clear" w:color="auto" w:fill="auto"/>
          </w:tcPr>
          <w:p w:rsidR="002D3C02" w:rsidRPr="002D3C02" w:rsidRDefault="002D3C02" w:rsidP="00E33A42">
            <w:r w:rsidRPr="002D3C02">
              <w:t>Mr Martin Turner, Practice Manager</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Organisation:</w:t>
            </w:r>
          </w:p>
        </w:tc>
        <w:tc>
          <w:tcPr>
            <w:tcW w:w="6057" w:type="dxa"/>
            <w:shd w:val="clear" w:color="auto" w:fill="auto"/>
          </w:tcPr>
          <w:p w:rsidR="002D3C02" w:rsidRPr="002D3C02" w:rsidRDefault="002D3C02" w:rsidP="00E33A42">
            <w:r>
              <w:t>Staveleigh Medical Centre</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Document Reference:</w:t>
            </w:r>
          </w:p>
        </w:tc>
        <w:tc>
          <w:tcPr>
            <w:tcW w:w="6057" w:type="dxa"/>
            <w:shd w:val="clear" w:color="auto" w:fill="auto"/>
          </w:tcPr>
          <w:p w:rsidR="002D3C02" w:rsidRPr="002D3C02" w:rsidRDefault="00903079" w:rsidP="00E33A42">
            <w:r>
              <w:t>Advance Directives Protocol &amp; patient Leaflet</w:t>
            </w:r>
            <w:r w:rsidR="003D544C">
              <w:t>_V.2.0</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Current Version Number:</w:t>
            </w:r>
          </w:p>
        </w:tc>
        <w:tc>
          <w:tcPr>
            <w:tcW w:w="6057" w:type="dxa"/>
            <w:shd w:val="clear" w:color="auto" w:fill="auto"/>
          </w:tcPr>
          <w:p w:rsidR="002D3C02" w:rsidRPr="002D3C02" w:rsidRDefault="003D544C" w:rsidP="00E33A42">
            <w:r>
              <w:t>2.0</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Current Document Approved By:</w:t>
            </w:r>
          </w:p>
        </w:tc>
        <w:tc>
          <w:tcPr>
            <w:tcW w:w="6057" w:type="dxa"/>
            <w:shd w:val="clear" w:color="auto" w:fill="auto"/>
          </w:tcPr>
          <w:p w:rsidR="002D3C02" w:rsidRPr="002D3C02" w:rsidRDefault="002D3C02" w:rsidP="00E33A42"/>
        </w:tc>
      </w:tr>
      <w:tr w:rsidR="002D3C02" w:rsidRPr="002D3C02" w:rsidTr="002D3C02">
        <w:tc>
          <w:tcPr>
            <w:tcW w:w="3531" w:type="dxa"/>
            <w:shd w:val="clear" w:color="auto" w:fill="DBE5F1" w:themeFill="accent1" w:themeFillTint="33"/>
          </w:tcPr>
          <w:p w:rsidR="002D3C02" w:rsidRPr="002D3C02" w:rsidRDefault="002D3C02" w:rsidP="00E33A42">
            <w:pPr>
              <w:rPr>
                <w:b/>
              </w:rPr>
            </w:pPr>
            <w:r w:rsidRPr="002D3C02">
              <w:rPr>
                <w:b/>
              </w:rPr>
              <w:t>Date Approved:</w:t>
            </w:r>
          </w:p>
        </w:tc>
        <w:tc>
          <w:tcPr>
            <w:tcW w:w="6057" w:type="dxa"/>
            <w:shd w:val="clear" w:color="auto" w:fill="auto"/>
          </w:tcPr>
          <w:p w:rsidR="002D3C02" w:rsidRPr="002D3C02" w:rsidRDefault="008F4959" w:rsidP="00E33A42">
            <w:r>
              <w:t>23 Sept</w:t>
            </w:r>
            <w:r w:rsidR="00903079">
              <w:t>em</w:t>
            </w:r>
            <w:r>
              <w:t>ber</w:t>
            </w:r>
            <w:r w:rsidR="002D3C02" w:rsidRPr="002D3C02">
              <w:t xml:space="preserve"> 2020</w:t>
            </w:r>
          </w:p>
        </w:tc>
      </w:tr>
    </w:tbl>
    <w:p w:rsidR="002D3C02" w:rsidRDefault="002D3C02"/>
    <w:p w:rsidR="002D3C02" w:rsidRPr="002D3C02" w:rsidRDefault="002D3C02"/>
    <w:p w:rsidR="002D3C02" w:rsidRDefault="002D3C02" w:rsidP="002D3C02">
      <w:pPr>
        <w:rPr>
          <w:rFonts w:ascii="Frutiger Bold" w:hAnsi="Frutiger Bold"/>
          <w:sz w:val="28"/>
          <w:szCs w:val="28"/>
        </w:rPr>
      </w:pPr>
      <w:r>
        <w:rPr>
          <w:rFonts w:ascii="Frutiger Bold" w:hAnsi="Frutiger Bold"/>
          <w:sz w:val="28"/>
          <w:szCs w:val="28"/>
        </w:rPr>
        <w:t>D. Document Revision &amp; Approval History</w:t>
      </w:r>
    </w:p>
    <w:p w:rsidR="002D3C02" w:rsidRPr="002D3C02" w:rsidRDefault="002D3C02"/>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977"/>
        <w:gridCol w:w="1541"/>
        <w:gridCol w:w="1910"/>
        <w:gridCol w:w="1634"/>
        <w:gridCol w:w="3526"/>
      </w:tblGrid>
      <w:tr w:rsidR="002D3C02" w:rsidRPr="002D3C02" w:rsidTr="001E3ACC">
        <w:tc>
          <w:tcPr>
            <w:tcW w:w="977" w:type="dxa"/>
            <w:shd w:val="clear" w:color="auto" w:fill="DBE5F1" w:themeFill="accent1" w:themeFillTint="33"/>
          </w:tcPr>
          <w:p w:rsidR="002D3C02" w:rsidRPr="002D3C02" w:rsidRDefault="002D3C02" w:rsidP="00E361A4">
            <w:pPr>
              <w:rPr>
                <w:b/>
              </w:rPr>
            </w:pPr>
            <w:r w:rsidRPr="002D3C02">
              <w:rPr>
                <w:b/>
              </w:rPr>
              <w:t>Version</w:t>
            </w:r>
          </w:p>
        </w:tc>
        <w:tc>
          <w:tcPr>
            <w:tcW w:w="1541" w:type="dxa"/>
            <w:shd w:val="clear" w:color="auto" w:fill="DBE5F1" w:themeFill="accent1" w:themeFillTint="33"/>
          </w:tcPr>
          <w:p w:rsidR="002D3C02" w:rsidRPr="002D3C02" w:rsidRDefault="002D3C02" w:rsidP="00E361A4">
            <w:pPr>
              <w:rPr>
                <w:b/>
              </w:rPr>
            </w:pPr>
            <w:r w:rsidRPr="002D3C02">
              <w:rPr>
                <w:b/>
              </w:rPr>
              <w:t>Date</w:t>
            </w:r>
          </w:p>
        </w:tc>
        <w:tc>
          <w:tcPr>
            <w:tcW w:w="1910" w:type="dxa"/>
            <w:shd w:val="clear" w:color="auto" w:fill="DBE5F1" w:themeFill="accent1" w:themeFillTint="33"/>
          </w:tcPr>
          <w:p w:rsidR="002D3C02" w:rsidRPr="002D3C02" w:rsidRDefault="00E361A4" w:rsidP="00E361A4">
            <w:pPr>
              <w:rPr>
                <w:b/>
              </w:rPr>
            </w:pPr>
            <w:r>
              <w:rPr>
                <w:b/>
              </w:rPr>
              <w:t>Version Created By</w:t>
            </w:r>
          </w:p>
        </w:tc>
        <w:tc>
          <w:tcPr>
            <w:tcW w:w="1634" w:type="dxa"/>
            <w:shd w:val="clear" w:color="auto" w:fill="DBE5F1" w:themeFill="accent1" w:themeFillTint="33"/>
          </w:tcPr>
          <w:p w:rsidR="002D3C02" w:rsidRPr="002D3C02" w:rsidRDefault="00E361A4" w:rsidP="00E361A4">
            <w:pPr>
              <w:rPr>
                <w:b/>
              </w:rPr>
            </w:pPr>
            <w:r>
              <w:rPr>
                <w:b/>
              </w:rPr>
              <w:t>Version Approved By</w:t>
            </w:r>
          </w:p>
        </w:tc>
        <w:tc>
          <w:tcPr>
            <w:tcW w:w="3526" w:type="dxa"/>
            <w:shd w:val="clear" w:color="auto" w:fill="DBE5F1" w:themeFill="accent1" w:themeFillTint="33"/>
          </w:tcPr>
          <w:p w:rsidR="002D3C02" w:rsidRPr="002D3C02" w:rsidRDefault="002D3C02" w:rsidP="00E361A4">
            <w:pPr>
              <w:rPr>
                <w:b/>
              </w:rPr>
            </w:pPr>
            <w:r w:rsidRPr="002D3C02">
              <w:rPr>
                <w:b/>
              </w:rPr>
              <w:t>Comments</w:t>
            </w:r>
          </w:p>
        </w:tc>
      </w:tr>
      <w:tr w:rsidR="00903079" w:rsidRPr="002D3C02" w:rsidTr="001E3ACC">
        <w:tc>
          <w:tcPr>
            <w:tcW w:w="977" w:type="dxa"/>
            <w:shd w:val="clear" w:color="auto" w:fill="auto"/>
          </w:tcPr>
          <w:p w:rsidR="00903079" w:rsidRPr="00B47CED" w:rsidRDefault="00903079" w:rsidP="00903079">
            <w:pPr>
              <w:rPr>
                <w:sz w:val="20"/>
                <w:szCs w:val="20"/>
              </w:rPr>
            </w:pPr>
            <w:r>
              <w:rPr>
                <w:sz w:val="20"/>
                <w:szCs w:val="20"/>
              </w:rPr>
              <w:t>1.0</w:t>
            </w:r>
          </w:p>
        </w:tc>
        <w:tc>
          <w:tcPr>
            <w:tcW w:w="1541" w:type="dxa"/>
            <w:shd w:val="clear" w:color="auto" w:fill="auto"/>
          </w:tcPr>
          <w:p w:rsidR="00903079" w:rsidRPr="00B47CED" w:rsidRDefault="00903079" w:rsidP="00903079">
            <w:pPr>
              <w:rPr>
                <w:sz w:val="20"/>
                <w:szCs w:val="20"/>
              </w:rPr>
            </w:pPr>
            <w:r>
              <w:rPr>
                <w:sz w:val="20"/>
                <w:szCs w:val="20"/>
              </w:rPr>
              <w:t>Nov 2013</w:t>
            </w:r>
          </w:p>
        </w:tc>
        <w:tc>
          <w:tcPr>
            <w:tcW w:w="1910" w:type="dxa"/>
            <w:shd w:val="clear" w:color="auto" w:fill="auto"/>
          </w:tcPr>
          <w:p w:rsidR="00903079" w:rsidRPr="00B47CED" w:rsidRDefault="00903079" w:rsidP="00903079">
            <w:pPr>
              <w:rPr>
                <w:sz w:val="20"/>
                <w:szCs w:val="20"/>
              </w:rPr>
            </w:pPr>
            <w:r>
              <w:rPr>
                <w:sz w:val="20"/>
                <w:szCs w:val="20"/>
              </w:rPr>
              <w:t>Mrs D Teasdale</w:t>
            </w:r>
          </w:p>
        </w:tc>
        <w:tc>
          <w:tcPr>
            <w:tcW w:w="1634" w:type="dxa"/>
            <w:shd w:val="clear" w:color="auto" w:fill="auto"/>
          </w:tcPr>
          <w:p w:rsidR="00903079" w:rsidRPr="00B47CED" w:rsidRDefault="00903079" w:rsidP="00903079">
            <w:pPr>
              <w:rPr>
                <w:sz w:val="20"/>
                <w:szCs w:val="20"/>
              </w:rPr>
            </w:pPr>
            <w:r>
              <w:rPr>
                <w:sz w:val="20"/>
                <w:szCs w:val="20"/>
              </w:rPr>
              <w:t xml:space="preserve">Dr S </w:t>
            </w:r>
            <w:proofErr w:type="spellStart"/>
            <w:r>
              <w:rPr>
                <w:sz w:val="20"/>
                <w:szCs w:val="20"/>
              </w:rPr>
              <w:t>Ul-haq</w:t>
            </w:r>
            <w:proofErr w:type="spellEnd"/>
          </w:p>
        </w:tc>
        <w:tc>
          <w:tcPr>
            <w:tcW w:w="3526" w:type="dxa"/>
            <w:shd w:val="clear" w:color="auto" w:fill="auto"/>
          </w:tcPr>
          <w:p w:rsidR="00903079" w:rsidRPr="0040110A" w:rsidRDefault="00903079" w:rsidP="00903079"/>
        </w:tc>
      </w:tr>
      <w:tr w:rsidR="00903079" w:rsidRPr="002D3C02" w:rsidTr="001E3ACC">
        <w:tc>
          <w:tcPr>
            <w:tcW w:w="977" w:type="dxa"/>
            <w:shd w:val="clear" w:color="auto" w:fill="auto"/>
          </w:tcPr>
          <w:p w:rsidR="00903079" w:rsidRPr="00B47CED" w:rsidRDefault="00903079" w:rsidP="00903079">
            <w:pPr>
              <w:rPr>
                <w:sz w:val="20"/>
                <w:szCs w:val="20"/>
              </w:rPr>
            </w:pPr>
            <w:r>
              <w:rPr>
                <w:sz w:val="20"/>
                <w:szCs w:val="20"/>
              </w:rPr>
              <w:t>1.1</w:t>
            </w:r>
          </w:p>
        </w:tc>
        <w:tc>
          <w:tcPr>
            <w:tcW w:w="1541" w:type="dxa"/>
            <w:shd w:val="clear" w:color="auto" w:fill="auto"/>
          </w:tcPr>
          <w:p w:rsidR="00903079" w:rsidRPr="00B47CED" w:rsidRDefault="00903079" w:rsidP="00903079">
            <w:pPr>
              <w:rPr>
                <w:sz w:val="20"/>
                <w:szCs w:val="20"/>
              </w:rPr>
            </w:pPr>
            <w:r>
              <w:rPr>
                <w:sz w:val="20"/>
                <w:szCs w:val="20"/>
              </w:rPr>
              <w:t>April 2018</w:t>
            </w:r>
          </w:p>
        </w:tc>
        <w:tc>
          <w:tcPr>
            <w:tcW w:w="1910" w:type="dxa"/>
            <w:shd w:val="clear" w:color="auto" w:fill="auto"/>
          </w:tcPr>
          <w:p w:rsidR="00903079" w:rsidRPr="00B47CED" w:rsidRDefault="00903079" w:rsidP="00903079">
            <w:pPr>
              <w:rPr>
                <w:sz w:val="20"/>
                <w:szCs w:val="20"/>
              </w:rPr>
            </w:pPr>
            <w:r>
              <w:rPr>
                <w:sz w:val="20"/>
                <w:szCs w:val="20"/>
              </w:rPr>
              <w:t>Mrs D Teasdale</w:t>
            </w:r>
          </w:p>
        </w:tc>
        <w:tc>
          <w:tcPr>
            <w:tcW w:w="1634" w:type="dxa"/>
            <w:shd w:val="clear" w:color="auto" w:fill="auto"/>
          </w:tcPr>
          <w:p w:rsidR="00903079" w:rsidRPr="00B47CED" w:rsidRDefault="00903079" w:rsidP="00903079">
            <w:pPr>
              <w:rPr>
                <w:sz w:val="20"/>
                <w:szCs w:val="20"/>
              </w:rPr>
            </w:pPr>
            <w:r>
              <w:rPr>
                <w:sz w:val="20"/>
                <w:szCs w:val="20"/>
              </w:rPr>
              <w:t xml:space="preserve">Dr J </w:t>
            </w:r>
            <w:proofErr w:type="spellStart"/>
            <w:r>
              <w:rPr>
                <w:sz w:val="20"/>
                <w:szCs w:val="20"/>
              </w:rPr>
              <w:t>Shilhan</w:t>
            </w:r>
            <w:proofErr w:type="spellEnd"/>
          </w:p>
        </w:tc>
        <w:tc>
          <w:tcPr>
            <w:tcW w:w="3526" w:type="dxa"/>
            <w:shd w:val="clear" w:color="auto" w:fill="auto"/>
          </w:tcPr>
          <w:p w:rsidR="00903079" w:rsidRPr="0040110A" w:rsidRDefault="00903079" w:rsidP="00903079"/>
        </w:tc>
      </w:tr>
      <w:tr w:rsidR="00903079" w:rsidRPr="002D3C02" w:rsidTr="001E3ACC">
        <w:tc>
          <w:tcPr>
            <w:tcW w:w="977" w:type="dxa"/>
            <w:shd w:val="clear" w:color="auto" w:fill="auto"/>
          </w:tcPr>
          <w:p w:rsidR="00903079" w:rsidRPr="0040110A" w:rsidRDefault="00903079" w:rsidP="00903079">
            <w:r>
              <w:t>2.0</w:t>
            </w:r>
          </w:p>
        </w:tc>
        <w:tc>
          <w:tcPr>
            <w:tcW w:w="1541" w:type="dxa"/>
            <w:shd w:val="clear" w:color="auto" w:fill="auto"/>
          </w:tcPr>
          <w:p w:rsidR="00903079" w:rsidRPr="0040110A" w:rsidRDefault="00903079" w:rsidP="00903079">
            <w:r>
              <w:t>Sept 2020</w:t>
            </w:r>
          </w:p>
        </w:tc>
        <w:tc>
          <w:tcPr>
            <w:tcW w:w="1910" w:type="dxa"/>
            <w:shd w:val="clear" w:color="auto" w:fill="auto"/>
          </w:tcPr>
          <w:p w:rsidR="00903079" w:rsidRPr="0040110A" w:rsidRDefault="00903079" w:rsidP="00903079">
            <w:r>
              <w:t>Mr M Turner</w:t>
            </w:r>
          </w:p>
        </w:tc>
        <w:tc>
          <w:tcPr>
            <w:tcW w:w="1634" w:type="dxa"/>
            <w:shd w:val="clear" w:color="auto" w:fill="auto"/>
          </w:tcPr>
          <w:p w:rsidR="00903079" w:rsidRPr="0040110A" w:rsidRDefault="00903079" w:rsidP="00903079"/>
        </w:tc>
        <w:tc>
          <w:tcPr>
            <w:tcW w:w="3526" w:type="dxa"/>
            <w:shd w:val="clear" w:color="auto" w:fill="auto"/>
          </w:tcPr>
          <w:p w:rsidR="00903079" w:rsidRPr="0040110A" w:rsidRDefault="00903079" w:rsidP="00903079">
            <w:r>
              <w:t>Formatting</w:t>
            </w:r>
          </w:p>
        </w:tc>
      </w:tr>
      <w:tr w:rsidR="00903079" w:rsidRPr="002D3C02" w:rsidTr="001E3ACC">
        <w:tc>
          <w:tcPr>
            <w:tcW w:w="977" w:type="dxa"/>
            <w:shd w:val="clear" w:color="auto" w:fill="auto"/>
          </w:tcPr>
          <w:p w:rsidR="00903079" w:rsidRPr="0040110A" w:rsidRDefault="00903079" w:rsidP="00903079"/>
        </w:tc>
        <w:tc>
          <w:tcPr>
            <w:tcW w:w="1541" w:type="dxa"/>
            <w:shd w:val="clear" w:color="auto" w:fill="auto"/>
          </w:tcPr>
          <w:p w:rsidR="00903079" w:rsidRPr="0040110A" w:rsidRDefault="00903079" w:rsidP="00903079"/>
        </w:tc>
        <w:tc>
          <w:tcPr>
            <w:tcW w:w="1910" w:type="dxa"/>
            <w:shd w:val="clear" w:color="auto" w:fill="auto"/>
          </w:tcPr>
          <w:p w:rsidR="00903079" w:rsidRPr="0040110A" w:rsidRDefault="00903079" w:rsidP="00903079"/>
        </w:tc>
        <w:tc>
          <w:tcPr>
            <w:tcW w:w="1634" w:type="dxa"/>
            <w:shd w:val="clear" w:color="auto" w:fill="auto"/>
          </w:tcPr>
          <w:p w:rsidR="00903079" w:rsidRPr="0040110A" w:rsidRDefault="00903079" w:rsidP="00903079"/>
        </w:tc>
        <w:tc>
          <w:tcPr>
            <w:tcW w:w="3526" w:type="dxa"/>
            <w:shd w:val="clear" w:color="auto" w:fill="auto"/>
          </w:tcPr>
          <w:p w:rsidR="00903079" w:rsidRPr="0040110A" w:rsidRDefault="00903079" w:rsidP="00903079"/>
        </w:tc>
      </w:tr>
      <w:tr w:rsidR="00903079" w:rsidRPr="002D3C02" w:rsidTr="001E3ACC">
        <w:tc>
          <w:tcPr>
            <w:tcW w:w="977" w:type="dxa"/>
            <w:shd w:val="clear" w:color="auto" w:fill="auto"/>
          </w:tcPr>
          <w:p w:rsidR="00903079" w:rsidRPr="001E3ACC" w:rsidRDefault="00903079" w:rsidP="00903079"/>
        </w:tc>
        <w:tc>
          <w:tcPr>
            <w:tcW w:w="1541" w:type="dxa"/>
            <w:shd w:val="clear" w:color="auto" w:fill="auto"/>
          </w:tcPr>
          <w:p w:rsidR="00903079" w:rsidRPr="001E3ACC" w:rsidRDefault="00903079" w:rsidP="00903079"/>
        </w:tc>
        <w:tc>
          <w:tcPr>
            <w:tcW w:w="1910" w:type="dxa"/>
            <w:shd w:val="clear" w:color="auto" w:fill="auto"/>
          </w:tcPr>
          <w:p w:rsidR="00903079" w:rsidRPr="001E3ACC" w:rsidRDefault="00903079" w:rsidP="00903079"/>
        </w:tc>
        <w:tc>
          <w:tcPr>
            <w:tcW w:w="1634" w:type="dxa"/>
            <w:shd w:val="clear" w:color="auto" w:fill="auto"/>
          </w:tcPr>
          <w:p w:rsidR="00903079" w:rsidRPr="001E3ACC" w:rsidRDefault="00903079" w:rsidP="00903079"/>
        </w:tc>
        <w:tc>
          <w:tcPr>
            <w:tcW w:w="3526" w:type="dxa"/>
            <w:shd w:val="clear" w:color="auto" w:fill="auto"/>
          </w:tcPr>
          <w:p w:rsidR="00903079" w:rsidRPr="001E3ACC" w:rsidRDefault="00903079" w:rsidP="00903079"/>
        </w:tc>
      </w:tr>
      <w:tr w:rsidR="00903079" w:rsidRPr="002D3C02" w:rsidTr="001E3ACC">
        <w:tc>
          <w:tcPr>
            <w:tcW w:w="977" w:type="dxa"/>
            <w:shd w:val="clear" w:color="auto" w:fill="auto"/>
          </w:tcPr>
          <w:p w:rsidR="00903079" w:rsidRPr="001E3ACC" w:rsidRDefault="00903079" w:rsidP="00903079"/>
        </w:tc>
        <w:tc>
          <w:tcPr>
            <w:tcW w:w="1541" w:type="dxa"/>
            <w:shd w:val="clear" w:color="auto" w:fill="auto"/>
          </w:tcPr>
          <w:p w:rsidR="00903079" w:rsidRPr="001E3ACC" w:rsidRDefault="00903079" w:rsidP="00903079"/>
        </w:tc>
        <w:tc>
          <w:tcPr>
            <w:tcW w:w="1910" w:type="dxa"/>
            <w:shd w:val="clear" w:color="auto" w:fill="auto"/>
          </w:tcPr>
          <w:p w:rsidR="00903079" w:rsidRPr="001E3ACC" w:rsidRDefault="00903079" w:rsidP="00903079"/>
        </w:tc>
        <w:tc>
          <w:tcPr>
            <w:tcW w:w="1634" w:type="dxa"/>
            <w:shd w:val="clear" w:color="auto" w:fill="auto"/>
          </w:tcPr>
          <w:p w:rsidR="00903079" w:rsidRPr="001E3ACC" w:rsidRDefault="00903079" w:rsidP="00903079"/>
        </w:tc>
        <w:tc>
          <w:tcPr>
            <w:tcW w:w="3526" w:type="dxa"/>
            <w:shd w:val="clear" w:color="auto" w:fill="auto"/>
          </w:tcPr>
          <w:p w:rsidR="00903079" w:rsidRPr="001E3ACC" w:rsidRDefault="00903079" w:rsidP="00903079"/>
        </w:tc>
      </w:tr>
      <w:tr w:rsidR="00903079" w:rsidRPr="002D3C02" w:rsidTr="001E3ACC">
        <w:tc>
          <w:tcPr>
            <w:tcW w:w="977" w:type="dxa"/>
            <w:shd w:val="clear" w:color="auto" w:fill="auto"/>
          </w:tcPr>
          <w:p w:rsidR="00903079" w:rsidRPr="002D3C02" w:rsidRDefault="00903079" w:rsidP="00903079"/>
        </w:tc>
        <w:tc>
          <w:tcPr>
            <w:tcW w:w="1541" w:type="dxa"/>
            <w:shd w:val="clear" w:color="auto" w:fill="auto"/>
          </w:tcPr>
          <w:p w:rsidR="00903079" w:rsidRPr="002D3C02" w:rsidRDefault="00903079" w:rsidP="00903079"/>
        </w:tc>
        <w:tc>
          <w:tcPr>
            <w:tcW w:w="1910" w:type="dxa"/>
            <w:shd w:val="clear" w:color="auto" w:fill="auto"/>
          </w:tcPr>
          <w:p w:rsidR="00903079" w:rsidRPr="002D3C02" w:rsidRDefault="00903079" w:rsidP="00903079"/>
        </w:tc>
        <w:tc>
          <w:tcPr>
            <w:tcW w:w="1634" w:type="dxa"/>
            <w:shd w:val="clear" w:color="auto" w:fill="auto"/>
          </w:tcPr>
          <w:p w:rsidR="00903079" w:rsidRPr="002D3C02" w:rsidRDefault="00903079" w:rsidP="00903079"/>
        </w:tc>
        <w:tc>
          <w:tcPr>
            <w:tcW w:w="3526" w:type="dxa"/>
            <w:shd w:val="clear" w:color="auto" w:fill="auto"/>
          </w:tcPr>
          <w:p w:rsidR="00903079" w:rsidRPr="002D3C02" w:rsidRDefault="00903079" w:rsidP="00903079"/>
        </w:tc>
      </w:tr>
    </w:tbl>
    <w:p w:rsidR="002D3C02" w:rsidRDefault="002D3C02"/>
    <w:p w:rsidR="00590337" w:rsidRDefault="00590337" w:rsidP="00590337">
      <w:pPr>
        <w:rPr>
          <w:rFonts w:ascii="Frutiger Bold" w:hAnsi="Frutiger Bold"/>
          <w:sz w:val="28"/>
          <w:szCs w:val="28"/>
        </w:rPr>
      </w:pPr>
      <w:r>
        <w:rPr>
          <w:rFonts w:ascii="Frutiger Bold" w:hAnsi="Frutiger Bold"/>
          <w:sz w:val="28"/>
          <w:szCs w:val="28"/>
        </w:rPr>
        <w:t>E. Definitions</w:t>
      </w:r>
    </w:p>
    <w:tbl>
      <w:tblPr>
        <w:tblStyle w:val="TableGrid"/>
        <w:tblW w:w="9606" w:type="dxa"/>
        <w:tblLook w:val="04A0" w:firstRow="1" w:lastRow="0" w:firstColumn="1" w:lastColumn="0" w:noHBand="0" w:noVBand="1"/>
      </w:tblPr>
      <w:tblGrid>
        <w:gridCol w:w="3409"/>
        <w:gridCol w:w="6197"/>
      </w:tblGrid>
      <w:tr w:rsidR="00590337" w:rsidTr="009E5DFC">
        <w:tc>
          <w:tcPr>
            <w:tcW w:w="3409" w:type="dxa"/>
          </w:tcPr>
          <w:p w:rsidR="00590337" w:rsidRDefault="00590337">
            <w:r>
              <w:t>“The Practice”, “We”</w:t>
            </w:r>
          </w:p>
        </w:tc>
        <w:tc>
          <w:tcPr>
            <w:tcW w:w="6197" w:type="dxa"/>
          </w:tcPr>
          <w:p w:rsidR="00590337" w:rsidRDefault="00590337">
            <w:r>
              <w:t>On behalf of The Partners of Staveleigh Medical Centre</w:t>
            </w:r>
          </w:p>
        </w:tc>
      </w:tr>
      <w:tr w:rsidR="00590337" w:rsidTr="009E5DFC">
        <w:tc>
          <w:tcPr>
            <w:tcW w:w="3409" w:type="dxa"/>
          </w:tcPr>
          <w:p w:rsidR="00590337" w:rsidRDefault="00590337">
            <w:r>
              <w:t>“CCG”</w:t>
            </w:r>
          </w:p>
        </w:tc>
        <w:tc>
          <w:tcPr>
            <w:tcW w:w="6197" w:type="dxa"/>
          </w:tcPr>
          <w:p w:rsidR="00590337" w:rsidRDefault="00590337">
            <w:r>
              <w:t>Clinical Commissioning Group for Tameside and Glossop</w:t>
            </w:r>
          </w:p>
        </w:tc>
      </w:tr>
      <w:tr w:rsidR="00590337" w:rsidTr="009E5DFC">
        <w:tc>
          <w:tcPr>
            <w:tcW w:w="3409" w:type="dxa"/>
          </w:tcPr>
          <w:p w:rsidR="00590337" w:rsidRDefault="00590337">
            <w:r>
              <w:t>“Office”, “Officers”</w:t>
            </w:r>
          </w:p>
        </w:tc>
        <w:tc>
          <w:tcPr>
            <w:tcW w:w="6197" w:type="dxa"/>
          </w:tcPr>
          <w:p w:rsidR="00590337" w:rsidRDefault="00590337">
            <w:r>
              <w:t>Responsible person</w:t>
            </w:r>
            <w:r w:rsidR="00F34758">
              <w:t>s for policy</w:t>
            </w:r>
          </w:p>
        </w:tc>
      </w:tr>
    </w:tbl>
    <w:p w:rsidR="00C6669E" w:rsidRDefault="00C6669E"/>
    <w:p w:rsidR="00C6669E" w:rsidRDefault="00C6669E"/>
    <w:p w:rsidR="003268A1" w:rsidRDefault="003268A1"/>
    <w:p w:rsidR="003268A1" w:rsidRDefault="003268A1"/>
    <w:p w:rsidR="00590337" w:rsidRDefault="00590337" w:rsidP="00590337">
      <w:pPr>
        <w:rPr>
          <w:rFonts w:ascii="Frutiger Bold" w:hAnsi="Frutiger Bold"/>
          <w:sz w:val="28"/>
          <w:szCs w:val="28"/>
        </w:rPr>
      </w:pPr>
      <w:r>
        <w:rPr>
          <w:rFonts w:ascii="Frutiger Bold" w:hAnsi="Frutiger Bold"/>
          <w:sz w:val="28"/>
          <w:szCs w:val="28"/>
        </w:rPr>
        <w:lastRenderedPageBreak/>
        <w:t>F. Persons Whom Policy Applies to</w:t>
      </w:r>
    </w:p>
    <w:p w:rsidR="00590337" w:rsidRDefault="00590337" w:rsidP="00590337">
      <w:r>
        <w:t xml:space="preserve">Staff, faculties, visitors, stakeholders and other persons or bodies affected by or for whom this policy applies </w:t>
      </w:r>
      <w:proofErr w:type="gramStart"/>
      <w:r>
        <w:t>to</w:t>
      </w:r>
      <w:proofErr w:type="gramEnd"/>
      <w:r>
        <w:t>:</w:t>
      </w:r>
    </w:p>
    <w:p w:rsidR="004241EF" w:rsidRDefault="00590337" w:rsidP="00590337">
      <w:pPr>
        <w:pStyle w:val="ListParagraph"/>
        <w:numPr>
          <w:ilvl w:val="0"/>
          <w:numId w:val="11"/>
        </w:numPr>
      </w:pPr>
      <w:r>
        <w:t xml:space="preserve">All </w:t>
      </w:r>
      <w:r w:rsidR="001E3ACC">
        <w:t xml:space="preserve">Clinical </w:t>
      </w:r>
      <w:r>
        <w:t>staff.</w:t>
      </w:r>
    </w:p>
    <w:p w:rsidR="00590337" w:rsidRDefault="001E3ACC" w:rsidP="00590337">
      <w:pPr>
        <w:pStyle w:val="ListParagraph"/>
        <w:numPr>
          <w:ilvl w:val="0"/>
          <w:numId w:val="11"/>
        </w:numPr>
      </w:pPr>
      <w:r>
        <w:t>Patients.</w:t>
      </w:r>
    </w:p>
    <w:p w:rsidR="004D7C45" w:rsidRDefault="004D7C45" w:rsidP="00590337">
      <w:pPr>
        <w:pStyle w:val="ListParagraph"/>
        <w:numPr>
          <w:ilvl w:val="0"/>
          <w:numId w:val="11"/>
        </w:numPr>
      </w:pPr>
      <w:r>
        <w:t>Job applicants.</w:t>
      </w:r>
    </w:p>
    <w:p w:rsidR="004D7C45" w:rsidRDefault="004D7C45" w:rsidP="00590337">
      <w:pPr>
        <w:pStyle w:val="ListParagraph"/>
        <w:numPr>
          <w:ilvl w:val="0"/>
          <w:numId w:val="11"/>
        </w:numPr>
      </w:pPr>
      <w:proofErr w:type="gramStart"/>
      <w:r>
        <w:t>3</w:t>
      </w:r>
      <w:r w:rsidRPr="004D7C45">
        <w:rPr>
          <w:vertAlign w:val="superscript"/>
        </w:rPr>
        <w:t>rd</w:t>
      </w:r>
      <w:proofErr w:type="gramEnd"/>
      <w:r>
        <w:t xml:space="preserve"> Party Staff.</w:t>
      </w:r>
    </w:p>
    <w:p w:rsidR="004241EF" w:rsidRDefault="004241EF"/>
    <w:p w:rsidR="00590337" w:rsidRDefault="00590337" w:rsidP="00590337">
      <w:pPr>
        <w:rPr>
          <w:rFonts w:ascii="Frutiger Bold" w:hAnsi="Frutiger Bold"/>
          <w:sz w:val="28"/>
          <w:szCs w:val="28"/>
        </w:rPr>
      </w:pPr>
      <w:r>
        <w:rPr>
          <w:rFonts w:ascii="Frutiger Bold" w:hAnsi="Frutiger Bold"/>
          <w:sz w:val="28"/>
          <w:szCs w:val="28"/>
        </w:rPr>
        <w:t>G. Responsible Office</w:t>
      </w:r>
    </w:p>
    <w:p w:rsidR="00C6669E" w:rsidRDefault="00590337">
      <w:r>
        <w:t xml:space="preserve">Office or officers charged with </w:t>
      </w:r>
      <w:r w:rsidR="00F34758">
        <w:t>developing, updating, communicating, training, ensuring compliance with, and providing resources to promote adherence to this issued policy:</w:t>
      </w:r>
    </w:p>
    <w:p w:rsidR="00F34758" w:rsidRDefault="00F34758" w:rsidP="00F34758">
      <w:pPr>
        <w:pStyle w:val="ListParagraph"/>
        <w:numPr>
          <w:ilvl w:val="0"/>
          <w:numId w:val="12"/>
        </w:numPr>
      </w:pPr>
      <w:r>
        <w:t>Practice Manager</w:t>
      </w:r>
      <w:r w:rsidR="001E3ACC">
        <w:t>.</w:t>
      </w:r>
    </w:p>
    <w:p w:rsidR="003D544C" w:rsidRDefault="003D544C" w:rsidP="003D544C">
      <w:pPr>
        <w:pStyle w:val="ListParagraph"/>
        <w:numPr>
          <w:ilvl w:val="0"/>
          <w:numId w:val="12"/>
        </w:numPr>
      </w:pPr>
      <w:r>
        <w:t>All Practice Staff.</w:t>
      </w:r>
    </w:p>
    <w:p w:rsidR="004D7C45" w:rsidRDefault="004D7C45" w:rsidP="003D544C">
      <w:pPr>
        <w:pStyle w:val="ListParagraph"/>
        <w:numPr>
          <w:ilvl w:val="0"/>
          <w:numId w:val="12"/>
        </w:numPr>
      </w:pPr>
      <w:r>
        <w:t>Practice Partners.</w:t>
      </w:r>
    </w:p>
    <w:p w:rsidR="00C6669E" w:rsidRDefault="00C6669E"/>
    <w:p w:rsidR="004241EF" w:rsidRDefault="00E361A4" w:rsidP="004241EF">
      <w:pPr>
        <w:rPr>
          <w:rFonts w:ascii="Frutiger Bold" w:hAnsi="Frutiger Bold"/>
          <w:sz w:val="28"/>
          <w:szCs w:val="28"/>
        </w:rPr>
      </w:pPr>
      <w:r>
        <w:rPr>
          <w:rFonts w:ascii="Frutiger Bold" w:hAnsi="Frutiger Bold"/>
          <w:sz w:val="28"/>
          <w:szCs w:val="28"/>
        </w:rPr>
        <w:t>H</w:t>
      </w:r>
      <w:r w:rsidR="004241EF">
        <w:rPr>
          <w:rFonts w:ascii="Frutiger Bold" w:hAnsi="Frutiger Bold"/>
          <w:sz w:val="28"/>
          <w:szCs w:val="28"/>
        </w:rPr>
        <w:t>. Introduction</w:t>
      </w:r>
    </w:p>
    <w:p w:rsidR="00903079" w:rsidRDefault="00903079" w:rsidP="00903079">
      <w:pPr>
        <w:jc w:val="both"/>
      </w:pPr>
      <w:r>
        <w:t xml:space="preserve">The term Advance Directive (AD)(sometimes known as a “Living Will”) means a statement explaining what medical treatment an individual would not want in the future, should that individual 'lack Capacity' as defined by the Mental Capacity Act 2005. </w:t>
      </w:r>
    </w:p>
    <w:p w:rsidR="00903079" w:rsidRPr="00A3044D" w:rsidRDefault="00903079" w:rsidP="00903079">
      <w:pPr>
        <w:jc w:val="both"/>
        <w:rPr>
          <w:sz w:val="20"/>
          <w:szCs w:val="20"/>
        </w:rPr>
      </w:pPr>
    </w:p>
    <w:p w:rsidR="00903079" w:rsidRDefault="00903079" w:rsidP="00903079">
      <w:pPr>
        <w:jc w:val="both"/>
      </w:pPr>
      <w:r>
        <w:t xml:space="preserve">The term 'Living Will', whilst helping people to understand the concept, is somewhat misleading in that, unlike a will, it does not deal with money or property. Moreover, it can relate to all future treatment, not just that which may be immediately </w:t>
      </w:r>
      <w:proofErr w:type="gramStart"/>
      <w:r>
        <w:t>life-saving</w:t>
      </w:r>
      <w:proofErr w:type="gramEnd"/>
      <w:r>
        <w:t xml:space="preserve">. </w:t>
      </w:r>
    </w:p>
    <w:p w:rsidR="00903079" w:rsidRPr="00A3044D" w:rsidRDefault="00903079" w:rsidP="00903079">
      <w:pPr>
        <w:jc w:val="both"/>
        <w:rPr>
          <w:sz w:val="20"/>
          <w:szCs w:val="20"/>
        </w:rPr>
      </w:pPr>
    </w:p>
    <w:p w:rsidR="00903079" w:rsidRDefault="00903079" w:rsidP="00903079">
      <w:pPr>
        <w:jc w:val="both"/>
      </w:pPr>
      <w:r>
        <w:t>An advance directive is legally binding and does not have to be written down (although the vast majority are), except in the case where the individual decides to refuse life-saving treatment.</w:t>
      </w:r>
    </w:p>
    <w:p w:rsidR="00903079" w:rsidRPr="00A3044D" w:rsidRDefault="00903079" w:rsidP="00903079">
      <w:pPr>
        <w:jc w:val="both"/>
        <w:rPr>
          <w:sz w:val="20"/>
          <w:szCs w:val="20"/>
        </w:rPr>
      </w:pPr>
    </w:p>
    <w:p w:rsidR="00903079" w:rsidRDefault="00903079" w:rsidP="00903079">
      <w:pPr>
        <w:jc w:val="both"/>
      </w:pPr>
      <w:r>
        <w:t>Whilst the patient has ‘Capacity’, their word overrides anything contained in their advance directive or anything their legal representative may say.</w:t>
      </w:r>
    </w:p>
    <w:p w:rsidR="00903079" w:rsidRPr="00A3044D" w:rsidRDefault="00903079" w:rsidP="00903079">
      <w:pPr>
        <w:jc w:val="both"/>
        <w:rPr>
          <w:sz w:val="20"/>
          <w:szCs w:val="20"/>
        </w:rPr>
      </w:pPr>
    </w:p>
    <w:p w:rsidR="00903079" w:rsidRDefault="00903079" w:rsidP="00903079">
      <w:pPr>
        <w:jc w:val="both"/>
      </w:pPr>
      <w:r>
        <w:t xml:space="preserve">If doctors have </w:t>
      </w:r>
      <w:proofErr w:type="gramStart"/>
      <w:r>
        <w:t>doubts</w:t>
      </w:r>
      <w:proofErr w:type="gramEnd"/>
      <w:r>
        <w:t xml:space="preserve"> about the validity of an AD they should consult early with their indemnity organisation and they may be able to apply to the Court of Protection to overrule it.</w:t>
      </w:r>
    </w:p>
    <w:p w:rsidR="003D544C" w:rsidRPr="003D544C" w:rsidRDefault="003D544C" w:rsidP="00C6669E">
      <w:pPr>
        <w:jc w:val="both"/>
        <w:rPr>
          <w:rFonts w:cstheme="minorHAnsi"/>
        </w:rPr>
      </w:pPr>
    </w:p>
    <w:p w:rsidR="004241EF" w:rsidRDefault="00E361A4" w:rsidP="004241EF">
      <w:pPr>
        <w:rPr>
          <w:rFonts w:ascii="Frutiger Bold" w:hAnsi="Frutiger Bold"/>
          <w:sz w:val="28"/>
          <w:szCs w:val="28"/>
        </w:rPr>
      </w:pPr>
      <w:r>
        <w:rPr>
          <w:rFonts w:ascii="Frutiger Bold" w:hAnsi="Frutiger Bold"/>
          <w:sz w:val="28"/>
          <w:szCs w:val="28"/>
        </w:rPr>
        <w:t>I</w:t>
      </w:r>
      <w:r w:rsidR="004241EF">
        <w:rPr>
          <w:rFonts w:ascii="Frutiger Bold" w:hAnsi="Frutiger Bold"/>
          <w:sz w:val="28"/>
          <w:szCs w:val="28"/>
        </w:rPr>
        <w:t>. Practice Statement</w:t>
      </w:r>
    </w:p>
    <w:p w:rsidR="00C6669E" w:rsidRDefault="00C6669E" w:rsidP="00C6669E">
      <w:pPr>
        <w:jc w:val="both"/>
      </w:pPr>
    </w:p>
    <w:p w:rsidR="00903079" w:rsidRDefault="00903079" w:rsidP="00903079">
      <w:pPr>
        <w:jc w:val="both"/>
      </w:pPr>
      <w:r>
        <w:t>This document details the procedure that the Practice will follow when a Patient submits their AD to the Practice. Whenever this situation occurs, the Practice will also obtain advice from appropriate professional bodies (e.g. Indemnity Organisation).</w:t>
      </w:r>
    </w:p>
    <w:p w:rsidR="008F4959" w:rsidRDefault="008F4959" w:rsidP="008F4959">
      <w:pPr>
        <w:jc w:val="both"/>
      </w:pPr>
    </w:p>
    <w:p w:rsidR="003D544C" w:rsidRDefault="003D544C" w:rsidP="00C6669E">
      <w:pPr>
        <w:jc w:val="both"/>
      </w:pPr>
    </w:p>
    <w:p w:rsidR="004241EF" w:rsidRDefault="00E361A4" w:rsidP="004241EF">
      <w:pPr>
        <w:rPr>
          <w:rFonts w:ascii="Frutiger Bold" w:hAnsi="Frutiger Bold"/>
          <w:sz w:val="28"/>
          <w:szCs w:val="28"/>
        </w:rPr>
      </w:pPr>
      <w:r>
        <w:rPr>
          <w:rFonts w:ascii="Frutiger Bold" w:hAnsi="Frutiger Bold"/>
          <w:sz w:val="28"/>
          <w:szCs w:val="28"/>
        </w:rPr>
        <w:t>J</w:t>
      </w:r>
      <w:r w:rsidR="004241EF">
        <w:rPr>
          <w:rFonts w:ascii="Frutiger Bold" w:hAnsi="Frutiger Bold"/>
          <w:sz w:val="28"/>
          <w:szCs w:val="28"/>
        </w:rPr>
        <w:t>. Operational Implementation</w:t>
      </w:r>
      <w:r w:rsidR="00590337">
        <w:rPr>
          <w:rFonts w:ascii="Frutiger Bold" w:hAnsi="Frutiger Bold"/>
          <w:sz w:val="28"/>
          <w:szCs w:val="28"/>
        </w:rPr>
        <w:t xml:space="preserve"> and Procedures</w:t>
      </w:r>
    </w:p>
    <w:p w:rsidR="00903079" w:rsidRDefault="00903079" w:rsidP="008F4959">
      <w:pPr>
        <w:jc w:val="both"/>
      </w:pPr>
    </w:p>
    <w:p w:rsidR="00903079" w:rsidRDefault="00903079" w:rsidP="00903079">
      <w:pPr>
        <w:numPr>
          <w:ilvl w:val="0"/>
          <w:numId w:val="25"/>
        </w:numPr>
        <w:jc w:val="both"/>
      </w:pPr>
      <w:r>
        <w:t>The Practice will only accept Advance Directives in writing.</w:t>
      </w:r>
    </w:p>
    <w:p w:rsidR="00903079" w:rsidRDefault="00903079" w:rsidP="00903079">
      <w:pPr>
        <w:numPr>
          <w:ilvl w:val="0"/>
          <w:numId w:val="25"/>
        </w:numPr>
        <w:jc w:val="both"/>
      </w:pPr>
      <w:r>
        <w:t>The Practice will carefully consider all Advance Directives it receives.</w:t>
      </w:r>
    </w:p>
    <w:p w:rsidR="00903079" w:rsidRDefault="00903079" w:rsidP="00903079">
      <w:pPr>
        <w:numPr>
          <w:ilvl w:val="0"/>
          <w:numId w:val="25"/>
        </w:numPr>
        <w:jc w:val="both"/>
      </w:pPr>
      <w:r>
        <w:lastRenderedPageBreak/>
        <w:t>Any approach by a patient asking for advice relating to ADs will be treated with full consideration by the GP and appropriate advice will be offered (see below)</w:t>
      </w:r>
    </w:p>
    <w:p w:rsidR="00903079" w:rsidRDefault="00903079" w:rsidP="00903079">
      <w:pPr>
        <w:numPr>
          <w:ilvl w:val="0"/>
          <w:numId w:val="25"/>
        </w:numPr>
        <w:jc w:val="both"/>
      </w:pPr>
      <w:r>
        <w:t xml:space="preserve">When </w:t>
      </w:r>
      <w:proofErr w:type="gramStart"/>
      <w:r>
        <w:t>conditions which require treatment</w:t>
      </w:r>
      <w:proofErr w:type="gramEnd"/>
      <w:r>
        <w:t xml:space="preserve"> that is clearly within the content of the AD, then this will be regarded as being the categorical wishes of the patient. </w:t>
      </w:r>
    </w:p>
    <w:p w:rsidR="00903079" w:rsidRDefault="00903079" w:rsidP="00903079">
      <w:pPr>
        <w:numPr>
          <w:ilvl w:val="0"/>
          <w:numId w:val="25"/>
        </w:numPr>
        <w:jc w:val="both"/>
      </w:pPr>
      <w:r>
        <w:t xml:space="preserve">The Practice and its Clinicians will carefully asses the possibility that the Patient may have changed their mind since the date the AD </w:t>
      </w:r>
      <w:proofErr w:type="gramStart"/>
      <w:r>
        <w:t>was signed</w:t>
      </w:r>
      <w:proofErr w:type="gramEnd"/>
      <w:r>
        <w:t xml:space="preserve"> by considering any suggestion or likelihood that this has occurred. </w:t>
      </w:r>
    </w:p>
    <w:p w:rsidR="00903079" w:rsidRDefault="00903079" w:rsidP="00903079">
      <w:pPr>
        <w:numPr>
          <w:ilvl w:val="0"/>
          <w:numId w:val="25"/>
        </w:numPr>
        <w:jc w:val="both"/>
      </w:pPr>
      <w:r>
        <w:t>In circumstances when it is necessary to implement the requirements of an AD, the GP involved will consult with both another GP and with the Practice’s professional indemnity insurers.</w:t>
      </w:r>
    </w:p>
    <w:p w:rsidR="00903079" w:rsidRPr="00A3044D" w:rsidRDefault="00903079" w:rsidP="00903079">
      <w:pPr>
        <w:jc w:val="both"/>
        <w:rPr>
          <w:sz w:val="20"/>
          <w:szCs w:val="20"/>
        </w:rPr>
      </w:pPr>
    </w:p>
    <w:p w:rsidR="00903079" w:rsidRDefault="00903079" w:rsidP="00903079">
      <w:pPr>
        <w:pStyle w:val="Heading2"/>
        <w:jc w:val="both"/>
      </w:pPr>
      <w:r>
        <w:t>Limitations</w:t>
      </w:r>
    </w:p>
    <w:p w:rsidR="00903079" w:rsidRPr="00A3044D" w:rsidRDefault="00903079" w:rsidP="00903079">
      <w:pPr>
        <w:rPr>
          <w:sz w:val="20"/>
          <w:szCs w:val="20"/>
        </w:rPr>
      </w:pPr>
    </w:p>
    <w:p w:rsidR="00903079" w:rsidRDefault="00903079" w:rsidP="00903079">
      <w:pPr>
        <w:numPr>
          <w:ilvl w:val="0"/>
          <w:numId w:val="26"/>
        </w:numPr>
        <w:jc w:val="both"/>
      </w:pPr>
      <w:r>
        <w:t xml:space="preserve">The AD has no binding on </w:t>
      </w:r>
      <w:proofErr w:type="gramStart"/>
      <w:r>
        <w:t>acts which</w:t>
      </w:r>
      <w:proofErr w:type="gramEnd"/>
      <w:r>
        <w:t xml:space="preserve"> are deemed to be illegal.</w:t>
      </w:r>
    </w:p>
    <w:p w:rsidR="00903079" w:rsidRDefault="00903079" w:rsidP="00903079">
      <w:pPr>
        <w:numPr>
          <w:ilvl w:val="0"/>
          <w:numId w:val="26"/>
        </w:numPr>
        <w:jc w:val="both"/>
      </w:pPr>
      <w:r>
        <w:t>An AD cannot compel a GP to carry out a particular treatment</w:t>
      </w:r>
    </w:p>
    <w:p w:rsidR="00903079" w:rsidRDefault="00903079" w:rsidP="00903079">
      <w:pPr>
        <w:numPr>
          <w:ilvl w:val="0"/>
          <w:numId w:val="26"/>
        </w:numPr>
        <w:jc w:val="both"/>
      </w:pPr>
      <w:r>
        <w:t>An AD which specifies refusal of treatment does not prevent the provision of basic care e.g. pain relief, cleanliness etc.</w:t>
      </w:r>
    </w:p>
    <w:p w:rsidR="00903079" w:rsidRDefault="00903079" w:rsidP="00903079">
      <w:pPr>
        <w:pStyle w:val="Heading2"/>
        <w:jc w:val="both"/>
      </w:pPr>
      <w:r>
        <w:t>Content of Advance Directives</w:t>
      </w:r>
    </w:p>
    <w:p w:rsidR="00903079" w:rsidRPr="009C745C" w:rsidRDefault="00903079" w:rsidP="00903079">
      <w:pPr>
        <w:jc w:val="both"/>
        <w:rPr>
          <w:sz w:val="18"/>
          <w:szCs w:val="18"/>
        </w:rPr>
      </w:pPr>
    </w:p>
    <w:p w:rsidR="00903079" w:rsidRDefault="00903079" w:rsidP="00903079">
      <w:pPr>
        <w:jc w:val="both"/>
      </w:pPr>
      <w:r>
        <w:t xml:space="preserve">ADs are to be written in clear and unambiguous language, signed by the Patient and witnessed by at least </w:t>
      </w:r>
      <w:proofErr w:type="gramStart"/>
      <w:r>
        <w:t>1</w:t>
      </w:r>
      <w:proofErr w:type="gramEnd"/>
      <w:r>
        <w:t xml:space="preserve"> other person. They may contain:</w:t>
      </w:r>
    </w:p>
    <w:p w:rsidR="00903079" w:rsidRDefault="00903079" w:rsidP="00903079">
      <w:pPr>
        <w:numPr>
          <w:ilvl w:val="0"/>
          <w:numId w:val="27"/>
        </w:numPr>
        <w:jc w:val="both"/>
      </w:pPr>
      <w:r>
        <w:t>General statements about the Patient’s views on care, which may help a doctor to make decisions on courses of treatment without restricting them to specified courses of action;</w:t>
      </w:r>
    </w:p>
    <w:p w:rsidR="00903079" w:rsidRDefault="00903079" w:rsidP="00903079">
      <w:pPr>
        <w:numPr>
          <w:ilvl w:val="0"/>
          <w:numId w:val="27"/>
        </w:numPr>
        <w:jc w:val="both"/>
      </w:pPr>
      <w:r>
        <w:t>A statement which identifies third parties who are to be consulted in the event that the planned circumstances arise;</w:t>
      </w:r>
    </w:p>
    <w:p w:rsidR="00903079" w:rsidRDefault="00903079" w:rsidP="00903079">
      <w:pPr>
        <w:numPr>
          <w:ilvl w:val="0"/>
          <w:numId w:val="27"/>
        </w:numPr>
        <w:jc w:val="both"/>
      </w:pPr>
      <w:r>
        <w:t>A clear directive regarding specified or generalised treatments which may be legally binding;</w:t>
      </w:r>
    </w:p>
    <w:p w:rsidR="00903079" w:rsidRDefault="00903079" w:rsidP="00903079">
      <w:pPr>
        <w:numPr>
          <w:ilvl w:val="0"/>
          <w:numId w:val="27"/>
        </w:numPr>
        <w:jc w:val="both"/>
      </w:pPr>
      <w:r>
        <w:t>A statement made to support religious or other similar beliefs;</w:t>
      </w:r>
    </w:p>
    <w:p w:rsidR="00903079" w:rsidRDefault="00903079" w:rsidP="00903079">
      <w:pPr>
        <w:numPr>
          <w:ilvl w:val="0"/>
          <w:numId w:val="27"/>
        </w:numPr>
        <w:jc w:val="both"/>
      </w:pPr>
      <w:r>
        <w:t xml:space="preserve">A combination of the above </w:t>
      </w:r>
      <w:proofErr w:type="gramStart"/>
      <w:r>
        <w:t>elements which</w:t>
      </w:r>
      <w:proofErr w:type="gramEnd"/>
      <w:r>
        <w:t xml:space="preserve"> may very well have legal force.</w:t>
      </w:r>
    </w:p>
    <w:p w:rsidR="00903079" w:rsidRPr="00A3044D" w:rsidRDefault="00903079" w:rsidP="00903079">
      <w:pPr>
        <w:jc w:val="both"/>
        <w:rPr>
          <w:sz w:val="20"/>
          <w:szCs w:val="20"/>
        </w:rPr>
      </w:pPr>
    </w:p>
    <w:p w:rsidR="00903079" w:rsidRDefault="00903079" w:rsidP="00903079">
      <w:pPr>
        <w:pStyle w:val="Heading2"/>
        <w:jc w:val="both"/>
      </w:pPr>
      <w:r>
        <w:t>Advance Directives - Acceptance, Recording and Medical Records</w:t>
      </w:r>
    </w:p>
    <w:p w:rsidR="00903079" w:rsidRPr="009C745C" w:rsidRDefault="00903079" w:rsidP="00903079">
      <w:pPr>
        <w:jc w:val="both"/>
        <w:rPr>
          <w:sz w:val="18"/>
          <w:szCs w:val="18"/>
        </w:rPr>
      </w:pPr>
    </w:p>
    <w:p w:rsidR="00903079" w:rsidRDefault="00903079" w:rsidP="00903079">
      <w:pPr>
        <w:jc w:val="both"/>
      </w:pPr>
      <w:r>
        <w:t>The Practice will take the following action when presented with an AD:</w:t>
      </w:r>
    </w:p>
    <w:p w:rsidR="00903079" w:rsidRPr="00A8188F" w:rsidRDefault="00903079" w:rsidP="00903079">
      <w:pPr>
        <w:numPr>
          <w:ilvl w:val="1"/>
          <w:numId w:val="24"/>
        </w:numPr>
        <w:ind w:left="360" w:hanging="360"/>
        <w:jc w:val="both"/>
      </w:pPr>
      <w:r>
        <w:t xml:space="preserve">The Patient will be advised that the Practice </w:t>
      </w:r>
      <w:proofErr w:type="gramStart"/>
      <w:r>
        <w:t>recommends</w:t>
      </w:r>
      <w:proofErr w:type="gramEnd"/>
      <w:r>
        <w:t xml:space="preserve"> an annual re-authorisation of the AD, although the Practice itself will not issue any reminders.</w:t>
      </w:r>
    </w:p>
    <w:p w:rsidR="00903079" w:rsidRPr="00A8188F" w:rsidRDefault="00903079" w:rsidP="00903079">
      <w:pPr>
        <w:numPr>
          <w:ilvl w:val="1"/>
          <w:numId w:val="24"/>
        </w:numPr>
        <w:ind w:left="360" w:hanging="360"/>
        <w:jc w:val="both"/>
      </w:pPr>
      <w:r>
        <w:t xml:space="preserve">The Patient </w:t>
      </w:r>
      <w:proofErr w:type="gramStart"/>
      <w:r>
        <w:t>will be unequivocally identified</w:t>
      </w:r>
      <w:proofErr w:type="gramEnd"/>
      <w:r>
        <w:t>, with the use of appropriate identification if necessary (e.g. Passport; Driving Licence, Bank Card etc.).</w:t>
      </w:r>
    </w:p>
    <w:p w:rsidR="00903079" w:rsidRDefault="00903079" w:rsidP="00903079">
      <w:pPr>
        <w:numPr>
          <w:ilvl w:val="1"/>
          <w:numId w:val="24"/>
        </w:numPr>
        <w:ind w:left="360" w:hanging="360"/>
        <w:jc w:val="both"/>
      </w:pPr>
      <w:r>
        <w:t xml:space="preserve">The Original AD (and identification if obtained) </w:t>
      </w:r>
      <w:proofErr w:type="gramStart"/>
      <w:r>
        <w:t>will be photocopied</w:t>
      </w:r>
      <w:proofErr w:type="gramEnd"/>
      <w:r>
        <w:t xml:space="preserve"> and these copies will be endorsed as a true and accurate copy of the original, signed and dated, and the originals returned to the Patient. </w:t>
      </w:r>
    </w:p>
    <w:p w:rsidR="00903079" w:rsidRPr="00A8188F" w:rsidRDefault="00903079" w:rsidP="00903079">
      <w:pPr>
        <w:numPr>
          <w:ilvl w:val="1"/>
          <w:numId w:val="24"/>
        </w:numPr>
        <w:ind w:left="360" w:hanging="360"/>
        <w:jc w:val="both"/>
      </w:pPr>
      <w:r>
        <w:t xml:space="preserve">The photocopied documents will be scanned into the Patient’s medical record </w:t>
      </w:r>
      <w:proofErr w:type="gramStart"/>
      <w:r>
        <w:t>and also</w:t>
      </w:r>
      <w:proofErr w:type="gramEnd"/>
      <w:r>
        <w:t xml:space="preserve"> retained indefinitely within a dedicated AD file.</w:t>
      </w:r>
    </w:p>
    <w:p w:rsidR="00903079" w:rsidRPr="00A8188F" w:rsidRDefault="00903079" w:rsidP="00903079">
      <w:pPr>
        <w:numPr>
          <w:ilvl w:val="1"/>
          <w:numId w:val="24"/>
        </w:numPr>
        <w:ind w:left="360" w:hanging="360"/>
        <w:jc w:val="both"/>
      </w:pPr>
      <w:r>
        <w:t xml:space="preserve">An alert message that an Advance Directive </w:t>
      </w:r>
      <w:proofErr w:type="gramStart"/>
      <w:r>
        <w:t>is held</w:t>
      </w:r>
      <w:proofErr w:type="gramEnd"/>
      <w:r>
        <w:t xml:space="preserve"> on file will be put on the Clinical System to draw attention to its existence, prior to commencement of appropriate treatments.</w:t>
      </w:r>
    </w:p>
    <w:p w:rsidR="00903079" w:rsidRDefault="00903079" w:rsidP="00903079">
      <w:pPr>
        <w:numPr>
          <w:ilvl w:val="1"/>
          <w:numId w:val="24"/>
        </w:numPr>
        <w:ind w:left="360" w:hanging="360"/>
        <w:jc w:val="both"/>
      </w:pPr>
      <w:r>
        <w:lastRenderedPageBreak/>
        <w:t xml:space="preserve">An extended appointment to discuss the situation with their usual GP </w:t>
      </w:r>
      <w:proofErr w:type="gramStart"/>
      <w:r>
        <w:t>will be offered</w:t>
      </w:r>
      <w:proofErr w:type="gramEnd"/>
      <w:r>
        <w:t>.</w:t>
      </w:r>
    </w:p>
    <w:p w:rsidR="00903079" w:rsidRDefault="00903079" w:rsidP="00903079">
      <w:pPr>
        <w:numPr>
          <w:ilvl w:val="1"/>
          <w:numId w:val="24"/>
        </w:numPr>
        <w:ind w:left="360" w:hanging="360"/>
        <w:jc w:val="both"/>
      </w:pPr>
      <w:r>
        <w:t xml:space="preserve">Where this offer is accepted, a minimum of 14 </w:t>
      </w:r>
      <w:proofErr w:type="spellStart"/>
      <w:r>
        <w:t>days notice</w:t>
      </w:r>
      <w:proofErr w:type="spellEnd"/>
      <w:r>
        <w:t xml:space="preserve"> is required so that, in advance of the appointment, the GP will review the document and undertake research to determine the extent and potential impact of the AD in relation to the health and needs of that Patient, having due regard of:</w:t>
      </w:r>
    </w:p>
    <w:p w:rsidR="00903079" w:rsidRPr="00BF4783" w:rsidRDefault="00903079" w:rsidP="00903079">
      <w:pPr>
        <w:numPr>
          <w:ilvl w:val="0"/>
          <w:numId w:val="24"/>
        </w:numPr>
        <w:ind w:left="720"/>
        <w:jc w:val="both"/>
      </w:pPr>
      <w:r>
        <w:t>The Patient’s Capacity to give consent or refusal.</w:t>
      </w:r>
    </w:p>
    <w:p w:rsidR="00903079" w:rsidRPr="00BF4783" w:rsidRDefault="00903079" w:rsidP="00903079">
      <w:pPr>
        <w:numPr>
          <w:ilvl w:val="0"/>
          <w:numId w:val="24"/>
        </w:numPr>
        <w:ind w:left="720"/>
        <w:jc w:val="both"/>
      </w:pPr>
      <w:r>
        <w:t xml:space="preserve">The existence of any form of duress or undue influence </w:t>
      </w:r>
      <w:proofErr w:type="gramStart"/>
      <w:r>
        <w:t>being applied</w:t>
      </w:r>
      <w:proofErr w:type="gramEnd"/>
      <w:r>
        <w:t xml:space="preserve"> by third parties.</w:t>
      </w:r>
    </w:p>
    <w:p w:rsidR="00903079" w:rsidRPr="00BF4783" w:rsidRDefault="00903079" w:rsidP="00903079">
      <w:pPr>
        <w:numPr>
          <w:ilvl w:val="0"/>
          <w:numId w:val="24"/>
        </w:numPr>
        <w:ind w:left="720"/>
        <w:jc w:val="both"/>
      </w:pPr>
      <w:r>
        <w:t xml:space="preserve">The validity and acceptability of the AD when viewed on an individual </w:t>
      </w:r>
      <w:proofErr w:type="gramStart"/>
      <w:r>
        <w:t>case by case</w:t>
      </w:r>
      <w:proofErr w:type="gramEnd"/>
      <w:r>
        <w:t xml:space="preserve"> basis.</w:t>
      </w:r>
    </w:p>
    <w:p w:rsidR="00903079" w:rsidRPr="00BF4783" w:rsidRDefault="00903079" w:rsidP="00903079">
      <w:pPr>
        <w:numPr>
          <w:ilvl w:val="0"/>
          <w:numId w:val="24"/>
        </w:numPr>
        <w:ind w:left="720"/>
        <w:jc w:val="both"/>
      </w:pPr>
      <w:r>
        <w:t xml:space="preserve">The options and treatments available, taking into account their current anxieties, and presented in such a </w:t>
      </w:r>
      <w:proofErr w:type="gramStart"/>
      <w:r>
        <w:t>way which</w:t>
      </w:r>
      <w:proofErr w:type="gramEnd"/>
      <w:r>
        <w:t xml:space="preserve"> will enable them to make an informed choice.</w:t>
      </w:r>
    </w:p>
    <w:p w:rsidR="00903079" w:rsidRPr="00A8188F" w:rsidRDefault="00903079" w:rsidP="00903079">
      <w:pPr>
        <w:numPr>
          <w:ilvl w:val="0"/>
          <w:numId w:val="24"/>
        </w:numPr>
        <w:ind w:left="720"/>
        <w:jc w:val="both"/>
      </w:pPr>
      <w:r>
        <w:t xml:space="preserve">The desirability of making a decision at this particular time (e.g. is the patient depressed) and is it appropriate to review the decision after a further </w:t>
      </w:r>
      <w:proofErr w:type="gramStart"/>
      <w:r>
        <w:t>period of time</w:t>
      </w:r>
      <w:proofErr w:type="gramEnd"/>
      <w:r>
        <w:t>?</w:t>
      </w:r>
    </w:p>
    <w:p w:rsidR="00903079" w:rsidRPr="00A8188F" w:rsidRDefault="00903079" w:rsidP="00903079">
      <w:pPr>
        <w:numPr>
          <w:ilvl w:val="1"/>
          <w:numId w:val="24"/>
        </w:numPr>
        <w:ind w:left="360" w:hanging="360"/>
        <w:jc w:val="both"/>
      </w:pPr>
      <w:r>
        <w:t xml:space="preserve">Where an appointment offer is refused, the Patient will be advised that their usual GP will review AD </w:t>
      </w:r>
      <w:proofErr w:type="gramStart"/>
      <w:r>
        <w:t>and also</w:t>
      </w:r>
      <w:proofErr w:type="gramEnd"/>
      <w:r>
        <w:t xml:space="preserve"> requested to inform their family and close friends that an AD exists and explain it contents to them.</w:t>
      </w:r>
    </w:p>
    <w:p w:rsidR="00903079" w:rsidRDefault="00903079" w:rsidP="00903079">
      <w:pPr>
        <w:numPr>
          <w:ilvl w:val="1"/>
          <w:numId w:val="24"/>
        </w:numPr>
        <w:ind w:left="360" w:hanging="360"/>
        <w:jc w:val="both"/>
      </w:pPr>
      <w:r>
        <w:t>As part of the normal consultation process, a GP will remind the Patient that they should review their AD after each 12 month period has passed, noting that such a reminder has been issued is entered onto their medical record, together with the patient’s decision, if they have made one, using the following Clinical Read Codes:</w:t>
      </w:r>
    </w:p>
    <w:p w:rsidR="00903079" w:rsidRDefault="00903079" w:rsidP="00903079">
      <w:pPr>
        <w:ind w:left="360" w:firstLine="360"/>
        <w:jc w:val="both"/>
      </w:pPr>
      <w:r>
        <w:t xml:space="preserve">9X0 – Advanced Directive Discussed </w:t>
      </w:r>
    </w:p>
    <w:p w:rsidR="00903079" w:rsidRPr="00A8188F" w:rsidRDefault="00903079" w:rsidP="00903079">
      <w:pPr>
        <w:ind w:left="360" w:firstLine="360"/>
        <w:jc w:val="both"/>
      </w:pPr>
      <w:r>
        <w:t xml:space="preserve">GPs will provide details of the AD (or a copy of it) to other healthcare professionals at appropriate times, e.g. on referrals or in </w:t>
      </w:r>
      <w:proofErr w:type="gramStart"/>
      <w:r>
        <w:t>emergency situations</w:t>
      </w:r>
      <w:proofErr w:type="gramEnd"/>
      <w:r>
        <w:t>.</w:t>
      </w:r>
    </w:p>
    <w:p w:rsidR="00903079" w:rsidRDefault="00903079" w:rsidP="00903079">
      <w:pPr>
        <w:numPr>
          <w:ilvl w:val="1"/>
          <w:numId w:val="24"/>
        </w:numPr>
        <w:ind w:left="360" w:hanging="360"/>
        <w:jc w:val="both"/>
      </w:pPr>
      <w:r>
        <w:t xml:space="preserve">In an </w:t>
      </w:r>
      <w:proofErr w:type="gramStart"/>
      <w:r>
        <w:t>emergency situation</w:t>
      </w:r>
      <w:proofErr w:type="gramEnd"/>
      <w:r>
        <w:t xml:space="preserve">, treatment should not normally be delayed in order to search for an AD. In all cases, in an </w:t>
      </w:r>
      <w:proofErr w:type="gramStart"/>
      <w:r>
        <w:t>emergency situation</w:t>
      </w:r>
      <w:proofErr w:type="gramEnd"/>
      <w:r>
        <w:t>, clinical judgement must be made.</w:t>
      </w:r>
    </w:p>
    <w:p w:rsidR="00903079" w:rsidRDefault="00903079" w:rsidP="00903079"/>
    <w:p w:rsidR="00903079" w:rsidRPr="00475CF5" w:rsidRDefault="00903079" w:rsidP="00903079">
      <w:pPr>
        <w:pStyle w:val="Heading3"/>
      </w:pPr>
      <w:r w:rsidRPr="00475CF5">
        <w:t>Patient Responsibilities</w:t>
      </w:r>
    </w:p>
    <w:p w:rsidR="00903079" w:rsidRPr="00475CF5" w:rsidRDefault="00903079" w:rsidP="00903079">
      <w:pPr>
        <w:numPr>
          <w:ilvl w:val="2"/>
          <w:numId w:val="25"/>
        </w:numPr>
        <w:spacing w:after="120"/>
        <w:ind w:left="360" w:hanging="360"/>
        <w:rPr>
          <w:sz w:val="22"/>
          <w:szCs w:val="22"/>
        </w:rPr>
      </w:pPr>
      <w:r w:rsidRPr="00475CF5">
        <w:rPr>
          <w:sz w:val="22"/>
          <w:szCs w:val="22"/>
        </w:rPr>
        <w:t xml:space="preserve">Maintain </w:t>
      </w:r>
      <w:r>
        <w:rPr>
          <w:sz w:val="22"/>
          <w:szCs w:val="22"/>
        </w:rPr>
        <w:t xml:space="preserve">and securely retain </w:t>
      </w:r>
      <w:r w:rsidRPr="00475CF5">
        <w:rPr>
          <w:sz w:val="22"/>
          <w:szCs w:val="22"/>
        </w:rPr>
        <w:t xml:space="preserve">your original </w:t>
      </w:r>
      <w:r>
        <w:rPr>
          <w:sz w:val="22"/>
          <w:szCs w:val="22"/>
        </w:rPr>
        <w:t xml:space="preserve">Advance Directive </w:t>
      </w:r>
      <w:r w:rsidRPr="00475CF5">
        <w:rPr>
          <w:sz w:val="22"/>
          <w:szCs w:val="22"/>
        </w:rPr>
        <w:t>document</w:t>
      </w:r>
    </w:p>
    <w:p w:rsidR="00903079" w:rsidRPr="00475CF5" w:rsidRDefault="00903079" w:rsidP="00903079">
      <w:pPr>
        <w:numPr>
          <w:ilvl w:val="2"/>
          <w:numId w:val="25"/>
        </w:numPr>
        <w:spacing w:after="120"/>
        <w:ind w:left="360" w:hanging="360"/>
        <w:rPr>
          <w:sz w:val="22"/>
          <w:szCs w:val="22"/>
        </w:rPr>
      </w:pPr>
      <w:r w:rsidRPr="00475CF5">
        <w:rPr>
          <w:sz w:val="22"/>
          <w:szCs w:val="22"/>
        </w:rPr>
        <w:t>R</w:t>
      </w:r>
      <w:r>
        <w:rPr>
          <w:sz w:val="22"/>
          <w:szCs w:val="22"/>
        </w:rPr>
        <w:t>egularly r</w:t>
      </w:r>
      <w:r w:rsidRPr="00475CF5">
        <w:rPr>
          <w:sz w:val="22"/>
          <w:szCs w:val="22"/>
        </w:rPr>
        <w:t>e-affirm</w:t>
      </w:r>
      <w:r>
        <w:rPr>
          <w:sz w:val="22"/>
          <w:szCs w:val="22"/>
        </w:rPr>
        <w:t xml:space="preserve"> in writing</w:t>
      </w:r>
      <w:r w:rsidRPr="00475CF5">
        <w:rPr>
          <w:sz w:val="22"/>
          <w:szCs w:val="22"/>
        </w:rPr>
        <w:t xml:space="preserve"> that the Advance Directive</w:t>
      </w:r>
      <w:r>
        <w:rPr>
          <w:sz w:val="22"/>
          <w:szCs w:val="22"/>
        </w:rPr>
        <w:t xml:space="preserve"> document</w:t>
      </w:r>
      <w:r w:rsidRPr="00475CF5">
        <w:rPr>
          <w:sz w:val="22"/>
          <w:szCs w:val="22"/>
        </w:rPr>
        <w:t xml:space="preserve"> is still valid</w:t>
      </w:r>
      <w:r>
        <w:rPr>
          <w:sz w:val="22"/>
          <w:szCs w:val="22"/>
        </w:rPr>
        <w:t xml:space="preserve"> – it is recommended that this </w:t>
      </w:r>
      <w:proofErr w:type="gramStart"/>
      <w:r>
        <w:rPr>
          <w:sz w:val="22"/>
          <w:szCs w:val="22"/>
        </w:rPr>
        <w:t>is</w:t>
      </w:r>
      <w:proofErr w:type="gramEnd"/>
      <w:r>
        <w:rPr>
          <w:sz w:val="22"/>
          <w:szCs w:val="22"/>
        </w:rPr>
        <w:t xml:space="preserve"> done every 12 months.</w:t>
      </w:r>
    </w:p>
    <w:p w:rsidR="00903079" w:rsidRPr="00475CF5" w:rsidRDefault="00903079" w:rsidP="00903079">
      <w:pPr>
        <w:numPr>
          <w:ilvl w:val="2"/>
          <w:numId w:val="25"/>
        </w:numPr>
        <w:spacing w:after="120"/>
        <w:ind w:left="360" w:hanging="360"/>
        <w:rPr>
          <w:sz w:val="22"/>
          <w:szCs w:val="22"/>
        </w:rPr>
      </w:pPr>
      <w:r w:rsidRPr="00475CF5">
        <w:rPr>
          <w:sz w:val="22"/>
          <w:szCs w:val="22"/>
        </w:rPr>
        <w:t xml:space="preserve">Ensure that your family </w:t>
      </w:r>
      <w:r>
        <w:rPr>
          <w:sz w:val="22"/>
          <w:szCs w:val="22"/>
        </w:rPr>
        <w:t xml:space="preserve">and close friends are aware of your Advance Directive document and where it </w:t>
      </w:r>
      <w:proofErr w:type="gramStart"/>
      <w:r>
        <w:rPr>
          <w:sz w:val="22"/>
          <w:szCs w:val="22"/>
        </w:rPr>
        <w:t>is kept</w:t>
      </w:r>
      <w:proofErr w:type="gramEnd"/>
      <w:r>
        <w:rPr>
          <w:sz w:val="22"/>
          <w:szCs w:val="22"/>
        </w:rPr>
        <w:t>.</w:t>
      </w:r>
    </w:p>
    <w:p w:rsidR="00903079" w:rsidRPr="00475CF5" w:rsidRDefault="00903079" w:rsidP="00903079">
      <w:pPr>
        <w:rPr>
          <w:sz w:val="22"/>
          <w:szCs w:val="22"/>
        </w:rPr>
      </w:pPr>
    </w:p>
    <w:p w:rsidR="00903079" w:rsidRPr="00475CF5" w:rsidRDefault="00903079" w:rsidP="00903079">
      <w:pPr>
        <w:pStyle w:val="Heading3"/>
      </w:pPr>
      <w:r w:rsidRPr="00475CF5">
        <w:t>What the Practice Will Not Do</w:t>
      </w:r>
    </w:p>
    <w:p w:rsidR="00903079" w:rsidRPr="00475CF5" w:rsidRDefault="00903079" w:rsidP="00903079">
      <w:pPr>
        <w:numPr>
          <w:ilvl w:val="1"/>
          <w:numId w:val="24"/>
        </w:numPr>
        <w:spacing w:after="120"/>
        <w:ind w:left="360" w:hanging="360"/>
        <w:rPr>
          <w:sz w:val="22"/>
          <w:szCs w:val="22"/>
        </w:rPr>
      </w:pPr>
      <w:r w:rsidRPr="00475CF5">
        <w:rPr>
          <w:sz w:val="22"/>
          <w:szCs w:val="22"/>
        </w:rPr>
        <w:t>Remind you to review or update your directive.</w:t>
      </w:r>
    </w:p>
    <w:p w:rsidR="00903079" w:rsidRPr="00475CF5" w:rsidRDefault="00903079" w:rsidP="00903079">
      <w:pPr>
        <w:numPr>
          <w:ilvl w:val="1"/>
          <w:numId w:val="24"/>
        </w:numPr>
        <w:spacing w:after="120"/>
        <w:ind w:left="360" w:hanging="360"/>
        <w:rPr>
          <w:sz w:val="22"/>
          <w:szCs w:val="22"/>
        </w:rPr>
      </w:pPr>
      <w:r w:rsidRPr="00475CF5">
        <w:rPr>
          <w:sz w:val="22"/>
          <w:szCs w:val="22"/>
        </w:rPr>
        <w:t>Monitor your treatment elsewhere (other than supply a copy of your directive)</w:t>
      </w:r>
    </w:p>
    <w:p w:rsidR="00903079" w:rsidRPr="00475CF5" w:rsidRDefault="00903079" w:rsidP="00903079">
      <w:pPr>
        <w:numPr>
          <w:ilvl w:val="1"/>
          <w:numId w:val="24"/>
        </w:numPr>
        <w:spacing w:after="120"/>
        <w:ind w:left="360" w:hanging="360"/>
        <w:rPr>
          <w:sz w:val="22"/>
          <w:szCs w:val="22"/>
        </w:rPr>
      </w:pPr>
      <w:r w:rsidRPr="00475CF5">
        <w:rPr>
          <w:sz w:val="22"/>
          <w:szCs w:val="22"/>
        </w:rPr>
        <w:t xml:space="preserve">Express views on the acceptability or legality of the directive in the wide variety of potential future clinical circumstances, or </w:t>
      </w:r>
      <w:proofErr w:type="gramStart"/>
      <w:r w:rsidRPr="00475CF5">
        <w:rPr>
          <w:sz w:val="22"/>
          <w:szCs w:val="22"/>
        </w:rPr>
        <w:t>treatments which</w:t>
      </w:r>
      <w:proofErr w:type="gramEnd"/>
      <w:r w:rsidRPr="00475CF5">
        <w:rPr>
          <w:sz w:val="22"/>
          <w:szCs w:val="22"/>
        </w:rPr>
        <w:t xml:space="preserve"> may be needed.</w:t>
      </w:r>
    </w:p>
    <w:p w:rsidR="00903079" w:rsidRPr="00475CF5" w:rsidRDefault="00903079" w:rsidP="00903079">
      <w:pPr>
        <w:numPr>
          <w:ilvl w:val="1"/>
          <w:numId w:val="24"/>
        </w:numPr>
        <w:spacing w:after="120"/>
        <w:ind w:left="360" w:hanging="360"/>
        <w:rPr>
          <w:sz w:val="22"/>
          <w:szCs w:val="22"/>
        </w:rPr>
      </w:pPr>
      <w:r>
        <w:rPr>
          <w:sz w:val="22"/>
          <w:szCs w:val="22"/>
        </w:rPr>
        <w:t>B</w:t>
      </w:r>
      <w:r w:rsidRPr="00475CF5">
        <w:rPr>
          <w:sz w:val="22"/>
          <w:szCs w:val="22"/>
        </w:rPr>
        <w:t xml:space="preserve">e responsible for the provision of Advance Directive information to </w:t>
      </w:r>
      <w:r>
        <w:rPr>
          <w:sz w:val="22"/>
          <w:szCs w:val="22"/>
        </w:rPr>
        <w:t xml:space="preserve">other </w:t>
      </w:r>
      <w:r w:rsidRPr="00475CF5">
        <w:rPr>
          <w:sz w:val="22"/>
          <w:szCs w:val="22"/>
        </w:rPr>
        <w:t xml:space="preserve">health providers where the Practice has not been involved in the care process (e.g. private clinics, temporary registration elsewhere </w:t>
      </w:r>
      <w:r>
        <w:rPr>
          <w:sz w:val="22"/>
          <w:szCs w:val="22"/>
        </w:rPr>
        <w:t>etc.)</w:t>
      </w:r>
    </w:p>
    <w:p w:rsidR="004241EF" w:rsidRDefault="008F4959" w:rsidP="008F4959">
      <w:pPr>
        <w:jc w:val="both"/>
      </w:pPr>
      <w:r>
        <w:br w:type="page"/>
      </w:r>
    </w:p>
    <w:p w:rsidR="004241EF" w:rsidRDefault="004241EF" w:rsidP="00C6669E">
      <w:pPr>
        <w:rPr>
          <w:b/>
        </w:rPr>
      </w:pPr>
      <w:r>
        <w:rPr>
          <w:rFonts w:ascii="Frutiger Bold" w:hAnsi="Frutiger Bold"/>
          <w:sz w:val="28"/>
          <w:szCs w:val="28"/>
        </w:rPr>
        <w:lastRenderedPageBreak/>
        <w:t>G. Statement Publication</w:t>
      </w:r>
    </w:p>
    <w:p w:rsidR="004241EF" w:rsidRDefault="004241EF" w:rsidP="00C6669E">
      <w:pPr>
        <w:spacing w:after="160" w:line="259" w:lineRule="auto"/>
        <w:rPr>
          <w:rFonts w:eastAsia="Times New Roman"/>
        </w:rPr>
      </w:pPr>
    </w:p>
    <w:p w:rsidR="00C6669E" w:rsidRPr="00DE3A4F" w:rsidRDefault="00C6669E" w:rsidP="004241EF">
      <w:pPr>
        <w:spacing w:after="160" w:line="259" w:lineRule="auto"/>
        <w:jc w:val="both"/>
        <w:rPr>
          <w:rFonts w:eastAsia="Times New Roman"/>
        </w:rPr>
      </w:pPr>
      <w:r>
        <w:rPr>
          <w:rFonts w:eastAsia="Times New Roman"/>
        </w:rPr>
        <w:t>Staveleigh Medical Centre will endeavour to</w:t>
      </w:r>
      <w:r w:rsidR="001E3ACC">
        <w:rPr>
          <w:rFonts w:eastAsia="Times New Roman"/>
        </w:rPr>
        <w:t xml:space="preserve"> update and </w:t>
      </w:r>
      <w:r w:rsidRPr="00DE3A4F">
        <w:rPr>
          <w:rFonts w:eastAsia="Times New Roman"/>
        </w:rPr>
        <w:t xml:space="preserve">publish their </w:t>
      </w:r>
      <w:r w:rsidR="001E3ACC">
        <w:rPr>
          <w:rFonts w:eastAsia="Times New Roman"/>
        </w:rPr>
        <w:t xml:space="preserve">policy and </w:t>
      </w:r>
      <w:r w:rsidRPr="00DE3A4F">
        <w:rPr>
          <w:rFonts w:eastAsia="Times New Roman"/>
        </w:rPr>
        <w:t xml:space="preserve">statement as soon as possible </w:t>
      </w:r>
      <w:r w:rsidR="001E3ACC">
        <w:rPr>
          <w:rFonts w:eastAsia="Times New Roman"/>
        </w:rPr>
        <w:t>and appropriate.</w:t>
      </w:r>
      <w:r w:rsidR="006B0AE6">
        <w:rPr>
          <w:rFonts w:eastAsia="Times New Roman"/>
        </w:rPr>
        <w:t xml:space="preserve"> The policy and statement </w:t>
      </w:r>
      <w:proofErr w:type="gramStart"/>
      <w:r w:rsidR="006B0AE6">
        <w:rPr>
          <w:rFonts w:eastAsia="Times New Roman"/>
        </w:rPr>
        <w:t>should be reviewed</w:t>
      </w:r>
      <w:proofErr w:type="gramEnd"/>
      <w:r w:rsidR="006B0AE6">
        <w:rPr>
          <w:rFonts w:eastAsia="Times New Roman"/>
        </w:rPr>
        <w:t xml:space="preserve"> not more than 12 months of the version date.</w:t>
      </w:r>
    </w:p>
    <w:p w:rsidR="00C6669E" w:rsidRPr="00DE3A4F" w:rsidRDefault="00C6669E" w:rsidP="004241EF">
      <w:pPr>
        <w:spacing w:after="160" w:line="259" w:lineRule="auto"/>
        <w:jc w:val="both"/>
        <w:rPr>
          <w:rFonts w:eastAsia="Times New Roman"/>
        </w:rPr>
      </w:pPr>
      <w:r w:rsidRPr="00DE3A4F">
        <w:rPr>
          <w:rFonts w:eastAsia="Times New Roman"/>
        </w:rPr>
        <w:t xml:space="preserve">The statement needs to be </w:t>
      </w:r>
      <w:proofErr w:type="gramStart"/>
      <w:r w:rsidRPr="00DE3A4F">
        <w:rPr>
          <w:rFonts w:eastAsia="Times New Roman"/>
        </w:rPr>
        <w:t>approved</w:t>
      </w:r>
      <w:proofErr w:type="gramEnd"/>
      <w:r w:rsidRPr="00DE3A4F">
        <w:rPr>
          <w:rFonts w:eastAsia="Times New Roman"/>
        </w:rPr>
        <w:t xml:space="preserve"> and signed by an appropriate senior person in the business to ensure senior level accountability.</w:t>
      </w:r>
    </w:p>
    <w:p w:rsidR="00C6669E" w:rsidRDefault="00C6669E" w:rsidP="004241EF">
      <w:pPr>
        <w:spacing w:after="160" w:line="259" w:lineRule="auto"/>
        <w:jc w:val="both"/>
        <w:rPr>
          <w:rFonts w:eastAsia="Times New Roman"/>
        </w:rPr>
      </w:pPr>
      <w:r>
        <w:rPr>
          <w:rFonts w:eastAsia="Times New Roman"/>
        </w:rPr>
        <w:t>A</w:t>
      </w:r>
      <w:r w:rsidRPr="00DE3A4F">
        <w:rPr>
          <w:rFonts w:eastAsia="Times New Roman"/>
        </w:rPr>
        <w:t xml:space="preserve"> copy of the statement is to </w:t>
      </w:r>
      <w:proofErr w:type="gramStart"/>
      <w:r w:rsidRPr="00DE3A4F">
        <w:rPr>
          <w:rFonts w:eastAsia="Times New Roman"/>
        </w:rPr>
        <w:t>be provided</w:t>
      </w:r>
      <w:proofErr w:type="gramEnd"/>
      <w:r w:rsidRPr="00DE3A4F">
        <w:rPr>
          <w:rFonts w:eastAsia="Times New Roman"/>
        </w:rPr>
        <w:t xml:space="preserve"> to anyone who requests one in writing. The copy </w:t>
      </w:r>
      <w:proofErr w:type="gramStart"/>
      <w:r w:rsidRPr="00DE3A4F">
        <w:rPr>
          <w:rFonts w:eastAsia="Times New Roman"/>
        </w:rPr>
        <w:t>must be provided</w:t>
      </w:r>
      <w:proofErr w:type="gramEnd"/>
      <w:r w:rsidRPr="00DE3A4F">
        <w:rPr>
          <w:rFonts w:eastAsia="Times New Roman"/>
        </w:rPr>
        <w:t xml:space="preserve"> to the requestor within 30 days</w:t>
      </w:r>
      <w:r>
        <w:rPr>
          <w:rFonts w:eastAsia="Times New Roman"/>
        </w:rPr>
        <w:t xml:space="preserve"> of the receipt of the request.</w:t>
      </w:r>
    </w:p>
    <w:p w:rsidR="004241EF" w:rsidRDefault="004241EF" w:rsidP="004241EF">
      <w:pPr>
        <w:spacing w:after="160" w:line="259" w:lineRule="auto"/>
        <w:jc w:val="both"/>
        <w:rPr>
          <w:rFonts w:eastAsia="Times New Roman"/>
        </w:rPr>
      </w:pPr>
    </w:p>
    <w:p w:rsidR="004241EF" w:rsidRDefault="00E361A4" w:rsidP="004241EF">
      <w:pPr>
        <w:spacing w:after="160" w:line="259" w:lineRule="auto"/>
        <w:jc w:val="both"/>
        <w:rPr>
          <w:rFonts w:ascii="Frutiger Bold" w:hAnsi="Frutiger Bold"/>
          <w:sz w:val="28"/>
          <w:szCs w:val="28"/>
        </w:rPr>
      </w:pPr>
      <w:r>
        <w:rPr>
          <w:rFonts w:ascii="Frutiger Bold" w:hAnsi="Frutiger Bold"/>
          <w:sz w:val="28"/>
          <w:szCs w:val="28"/>
        </w:rPr>
        <w:t>K</w:t>
      </w:r>
      <w:r w:rsidR="004241EF">
        <w:rPr>
          <w:rFonts w:ascii="Frutiger Bold" w:hAnsi="Frutiger Bold"/>
          <w:sz w:val="28"/>
          <w:szCs w:val="28"/>
        </w:rPr>
        <w:t>. Additional Information</w:t>
      </w:r>
    </w:p>
    <w:p w:rsidR="004241EF" w:rsidRPr="004241EF" w:rsidRDefault="004241EF" w:rsidP="004241EF">
      <w:pPr>
        <w:spacing w:after="160" w:line="259" w:lineRule="auto"/>
        <w:jc w:val="both"/>
        <w:rPr>
          <w:rFonts w:cstheme="minorHAnsi"/>
        </w:rPr>
      </w:pPr>
      <w:r>
        <w:rPr>
          <w:rFonts w:cstheme="minorHAnsi"/>
        </w:rPr>
        <w:t>None recorded.</w:t>
      </w:r>
    </w:p>
    <w:p w:rsidR="004241EF" w:rsidRDefault="004241EF" w:rsidP="004241EF">
      <w:pPr>
        <w:spacing w:after="160" w:line="259" w:lineRule="auto"/>
        <w:jc w:val="both"/>
        <w:rPr>
          <w:rFonts w:ascii="Frutiger Bold" w:hAnsi="Frutiger Bold"/>
          <w:sz w:val="28"/>
          <w:szCs w:val="28"/>
        </w:rPr>
      </w:pPr>
      <w:r>
        <w:rPr>
          <w:rFonts w:ascii="Frutiger Bold" w:hAnsi="Frutiger Bold"/>
          <w:sz w:val="28"/>
          <w:szCs w:val="28"/>
        </w:rPr>
        <w:t xml:space="preserve">I. References &amp; </w:t>
      </w:r>
      <w:r w:rsidR="00E361A4">
        <w:rPr>
          <w:rFonts w:ascii="Frutiger Bold" w:hAnsi="Frutiger Bold"/>
          <w:sz w:val="28"/>
          <w:szCs w:val="28"/>
        </w:rPr>
        <w:t>Further Resources</w:t>
      </w:r>
    </w:p>
    <w:p w:rsidR="00903079" w:rsidRPr="004241EF" w:rsidRDefault="00903079" w:rsidP="00903079">
      <w:pPr>
        <w:spacing w:after="160" w:line="259" w:lineRule="auto"/>
        <w:jc w:val="both"/>
        <w:rPr>
          <w:rFonts w:cstheme="minorHAnsi"/>
        </w:rPr>
      </w:pPr>
      <w:r>
        <w:rPr>
          <w:rFonts w:cstheme="minorHAnsi"/>
        </w:rPr>
        <w:t>None recorded.</w:t>
      </w:r>
    </w:p>
    <w:p w:rsidR="006B0AE6" w:rsidRDefault="00E361A4" w:rsidP="003D544C">
      <w:pPr>
        <w:spacing w:after="160" w:line="259" w:lineRule="auto"/>
        <w:jc w:val="both"/>
      </w:pPr>
      <w:r>
        <w:rPr>
          <w:rFonts w:ascii="Frutiger Bold" w:hAnsi="Frutiger Bold"/>
          <w:sz w:val="28"/>
          <w:szCs w:val="28"/>
        </w:rPr>
        <w:t>M</w:t>
      </w:r>
      <w:r w:rsidR="003D544C">
        <w:rPr>
          <w:rFonts w:ascii="Frutiger Bold" w:hAnsi="Frutiger Bold"/>
          <w:sz w:val="28"/>
          <w:szCs w:val="28"/>
        </w:rPr>
        <w:t>. Appendices</w:t>
      </w:r>
    </w:p>
    <w:p w:rsidR="00903079" w:rsidRPr="004241EF" w:rsidRDefault="00903079" w:rsidP="00903079">
      <w:pPr>
        <w:spacing w:after="160" w:line="259" w:lineRule="auto"/>
        <w:jc w:val="both"/>
        <w:rPr>
          <w:rFonts w:cstheme="minorHAnsi"/>
        </w:rPr>
      </w:pPr>
      <w:r>
        <w:rPr>
          <w:rFonts w:cstheme="minorHAnsi"/>
        </w:rPr>
        <w:t>None recorded.</w:t>
      </w:r>
    </w:p>
    <w:p w:rsidR="00903079" w:rsidRDefault="00903079" w:rsidP="00E361A4">
      <w:pPr>
        <w:rPr>
          <w:rFonts w:cstheme="minorHAnsi"/>
        </w:rPr>
        <w:sectPr w:rsidR="00903079" w:rsidSect="00F34758">
          <w:headerReference w:type="default" r:id="rId10"/>
          <w:footerReference w:type="default" r:id="rId11"/>
          <w:type w:val="continuous"/>
          <w:pgSz w:w="11906" w:h="16838"/>
          <w:pgMar w:top="1440" w:right="1440" w:bottom="1440" w:left="1440" w:header="708" w:footer="708" w:gutter="0"/>
          <w:pgNumType w:start="0"/>
          <w:cols w:space="708"/>
          <w:titlePg/>
          <w:docGrid w:linePitch="360"/>
        </w:sectPr>
      </w:pPr>
    </w:p>
    <w:tbl>
      <w:tblPr>
        <w:tblpPr w:leftFromText="180" w:rightFromText="180" w:vertAnchor="page" w:horzAnchor="margin" w:tblpY="3641"/>
        <w:tblW w:w="5000" w:type="pct"/>
        <w:tblLook w:val="04A0" w:firstRow="1" w:lastRow="0" w:firstColumn="1" w:lastColumn="0" w:noHBand="0" w:noVBand="1"/>
      </w:tblPr>
      <w:tblGrid>
        <w:gridCol w:w="9026"/>
      </w:tblGrid>
      <w:tr w:rsidR="00E361A4" w:rsidTr="00E33A42">
        <w:trPr>
          <w:trHeight w:val="2880"/>
        </w:trPr>
        <w:tc>
          <w:tcPr>
            <w:tcW w:w="5000" w:type="pct"/>
          </w:tcPr>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Pr="00805C75" w:rsidRDefault="00BF2FFB" w:rsidP="00805C75">
            <w:pPr>
              <w:pStyle w:val="NoSpacing"/>
              <w:rPr>
                <w:rFonts w:ascii="Frutiger Bold" w:eastAsiaTheme="majorEastAsia" w:hAnsi="Frutiger Bold" w:cstheme="majorBidi"/>
                <w:caps/>
              </w:rPr>
            </w:pPr>
          </w:p>
        </w:tc>
      </w:tr>
      <w:tr w:rsidR="00E361A4" w:rsidTr="00E33A42">
        <w:trPr>
          <w:trHeight w:val="1440"/>
        </w:trPr>
        <w:tc>
          <w:tcPr>
            <w:tcW w:w="5000" w:type="pct"/>
            <w:tcBorders>
              <w:bottom w:val="single" w:sz="4" w:space="0" w:color="4F81BD" w:themeColor="accent1"/>
            </w:tcBorders>
            <w:vAlign w:val="center"/>
          </w:tcPr>
          <w:p w:rsidR="00805C75" w:rsidRPr="00BF2FFB" w:rsidRDefault="00805C75" w:rsidP="00805C75">
            <w:pPr>
              <w:pStyle w:val="NoSpacing"/>
              <w:jc w:val="center"/>
              <w:rPr>
                <w:rFonts w:eastAsiaTheme="majorEastAsia" w:cstheme="minorHAnsi"/>
                <w:sz w:val="28"/>
                <w:szCs w:val="28"/>
              </w:rPr>
            </w:pPr>
            <w:r w:rsidRPr="00BF2FFB">
              <w:rPr>
                <w:rFonts w:eastAsiaTheme="majorEastAsia" w:cstheme="minorHAnsi"/>
                <w:sz w:val="28"/>
                <w:szCs w:val="28"/>
              </w:rPr>
              <w:t>End of Document.</w:t>
            </w:r>
          </w:p>
          <w:p w:rsidR="00805C75" w:rsidRPr="00805C75" w:rsidRDefault="00805C75" w:rsidP="00E33A42">
            <w:pPr>
              <w:pStyle w:val="NoSpacing"/>
              <w:rPr>
                <w:rFonts w:ascii="Frutiger Bold" w:eastAsiaTheme="majorEastAsia" w:hAnsi="Frutiger Bold" w:cstheme="majorBidi"/>
                <w:sz w:val="32"/>
              </w:rPr>
            </w:pPr>
          </w:p>
        </w:tc>
      </w:tr>
      <w:tr w:rsidR="00E361A4" w:rsidTr="00E33A42">
        <w:trPr>
          <w:trHeight w:val="720"/>
        </w:trPr>
        <w:tc>
          <w:tcPr>
            <w:tcW w:w="5000" w:type="pct"/>
            <w:tcBorders>
              <w:top w:val="single" w:sz="4" w:space="0" w:color="4F81BD" w:themeColor="accent1"/>
            </w:tcBorders>
            <w:vAlign w:val="center"/>
          </w:tcPr>
          <w:p w:rsidR="00BF2FFB" w:rsidRDefault="00BF2FFB" w:rsidP="00805C75">
            <w:pPr>
              <w:pStyle w:val="NoSpacing"/>
              <w:rPr>
                <w:rFonts w:ascii="Frutiger Bold" w:eastAsiaTheme="majorEastAsia" w:hAnsi="Frutiger Bold" w:cstheme="minorHAnsi"/>
                <w:sz w:val="28"/>
                <w:szCs w:val="28"/>
              </w:rPr>
            </w:pP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Staveleigh Medical Centre</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King Street</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Stalybridge</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SK15 2AE</w:t>
            </w:r>
          </w:p>
          <w:p w:rsidR="00805C75" w:rsidRPr="00BF2FFB" w:rsidRDefault="00805C75" w:rsidP="00805C75">
            <w:pPr>
              <w:pStyle w:val="NoSpacing"/>
              <w:rPr>
                <w:rFonts w:eastAsiaTheme="majorEastAsia" w:cstheme="minorHAnsi"/>
                <w:sz w:val="28"/>
                <w:szCs w:val="28"/>
              </w:rPr>
            </w:pP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t: 0161 304 8009</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 xml:space="preserve">w: www.staveleighmedicalcentre.co.uk </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e: tgccg.staveleighmedicalcentre@nhs.net</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c: P89007</w:t>
            </w:r>
          </w:p>
          <w:p w:rsidR="00805C75" w:rsidRPr="00BF2FFB" w:rsidRDefault="00805C75" w:rsidP="00BF2FFB">
            <w:pPr>
              <w:pStyle w:val="NoSpacing"/>
              <w:rPr>
                <w:rFonts w:eastAsiaTheme="majorEastAsia" w:cstheme="minorHAnsi"/>
                <w:sz w:val="28"/>
                <w:szCs w:val="28"/>
              </w:rPr>
            </w:pPr>
          </w:p>
        </w:tc>
      </w:tr>
    </w:tbl>
    <w:p w:rsidR="00E361A4" w:rsidRPr="00E361A4" w:rsidRDefault="00E361A4" w:rsidP="00903079">
      <w:pPr>
        <w:rPr>
          <w:rFonts w:cstheme="minorHAnsi"/>
        </w:rPr>
      </w:pPr>
    </w:p>
    <w:sectPr w:rsidR="00E361A4" w:rsidRPr="00E361A4" w:rsidSect="00E361A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C0" w:rsidRDefault="000765C0" w:rsidP="000765C0">
      <w:r>
        <w:separator/>
      </w:r>
    </w:p>
  </w:endnote>
  <w:endnote w:type="continuationSeparator" w:id="0">
    <w:p w:rsidR="000765C0" w:rsidRDefault="000765C0" w:rsidP="0007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Bold">
    <w:panose1 w:val="020B0702020504020204"/>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58" w:rsidRDefault="00BF2FFB">
    <w:pPr>
      <w:pStyle w:val="Footer"/>
      <w:jc w:val="center"/>
    </w:pPr>
    <w:r>
      <w:rPr>
        <w:noProof/>
        <w:lang w:eastAsia="en-GB"/>
      </w:rPr>
      <mc:AlternateContent>
        <mc:Choice Requires="wps">
          <w:drawing>
            <wp:anchor distT="0" distB="0" distL="114300" distR="114300" simplePos="0" relativeHeight="251659264" behindDoc="0" locked="0" layoutInCell="1" allowOverlap="1" wp14:anchorId="010F87A0" wp14:editId="4BD2AF76">
              <wp:simplePos x="0" y="0"/>
              <wp:positionH relativeFrom="column">
                <wp:posOffset>-110359</wp:posOffset>
              </wp:positionH>
              <wp:positionV relativeFrom="paragraph">
                <wp:posOffset>-32757</wp:posOffset>
              </wp:positionV>
              <wp:extent cx="6148552"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1485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65749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7pt,-2.6pt" to="475.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" strokecolor="#4579b8 [3044]"/>
          </w:pict>
        </mc:Fallback>
      </mc:AlternateContent>
    </w:r>
    <w:r w:rsidR="00E361A4">
      <w:t xml:space="preserve">Page </w:t>
    </w:r>
    <w:sdt>
      <w:sdtPr>
        <w:id w:val="-1005592293"/>
        <w:docPartObj>
          <w:docPartGallery w:val="Page Numbers (Bottom of Page)"/>
          <w:docPartUnique/>
        </w:docPartObj>
      </w:sdtPr>
      <w:sdtEndPr>
        <w:rPr>
          <w:noProof/>
        </w:rPr>
      </w:sdtEndPr>
      <w:sdtContent>
        <w:r w:rsidR="00F34758">
          <w:fldChar w:fldCharType="begin"/>
        </w:r>
        <w:r w:rsidR="00F34758">
          <w:instrText xml:space="preserve"> PAGE   \* MERGEFORMAT </w:instrText>
        </w:r>
        <w:r w:rsidR="00F34758">
          <w:fldChar w:fldCharType="separate"/>
        </w:r>
        <w:r w:rsidR="004A491C">
          <w:rPr>
            <w:noProof/>
          </w:rPr>
          <w:t>5</w:t>
        </w:r>
        <w:r w:rsidR="00F34758">
          <w:rPr>
            <w:noProof/>
          </w:rPr>
          <w:fldChar w:fldCharType="end"/>
        </w:r>
        <w:r w:rsidR="003268A1">
          <w:rPr>
            <w:noProof/>
          </w:rPr>
          <w:t xml:space="preserve"> of 5</w:t>
        </w:r>
      </w:sdtContent>
    </w:sdt>
  </w:p>
  <w:p w:rsidR="00F34758" w:rsidRDefault="00F34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C0" w:rsidRDefault="000765C0" w:rsidP="000765C0">
      <w:r>
        <w:separator/>
      </w:r>
    </w:p>
  </w:footnote>
  <w:footnote w:type="continuationSeparator" w:id="0">
    <w:p w:rsidR="000765C0" w:rsidRDefault="000765C0" w:rsidP="00076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C0" w:rsidRDefault="00903079" w:rsidP="000765C0">
    <w:pPr>
      <w:pStyle w:val="Header"/>
      <w:jc w:val="right"/>
    </w:pPr>
    <w:r>
      <w:t>Advance Directives Protocol &amp; Patient Leaflet_V.2.0</w:t>
    </w:r>
  </w:p>
  <w:p w:rsidR="00E361A4" w:rsidRDefault="00E361A4" w:rsidP="000765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D7A"/>
    <w:multiLevelType w:val="hybridMultilevel"/>
    <w:tmpl w:val="6D72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52132"/>
    <w:multiLevelType w:val="hybridMultilevel"/>
    <w:tmpl w:val="43E0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06DD7"/>
    <w:multiLevelType w:val="multilevel"/>
    <w:tmpl w:val="276A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37EED"/>
    <w:multiLevelType w:val="hybridMultilevel"/>
    <w:tmpl w:val="D1A42796"/>
    <w:lvl w:ilvl="0" w:tplc="08090001">
      <w:start w:val="1"/>
      <w:numFmt w:val="bullet"/>
      <w:lvlText w:val=""/>
      <w:lvlJc w:val="left"/>
      <w:pPr>
        <w:ind w:left="360" w:hanging="360"/>
      </w:pPr>
      <w:rPr>
        <w:rFonts w:ascii="Symbol" w:hAnsi="Symbol" w:hint="default"/>
      </w:rPr>
    </w:lvl>
    <w:lvl w:ilvl="1" w:tplc="1864138A">
      <w:numFmt w:val="bullet"/>
      <w:lvlText w:val="•"/>
      <w:lvlJc w:val="left"/>
      <w:pPr>
        <w:ind w:left="1440" w:hanging="720"/>
      </w:pPr>
      <w:rPr>
        <w:rFonts w:ascii="Calibri" w:eastAsia="Arial" w:hAnsi="Calibri" w:cs="Calibr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B04496"/>
    <w:multiLevelType w:val="multilevel"/>
    <w:tmpl w:val="FC10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85737"/>
    <w:multiLevelType w:val="hybridMultilevel"/>
    <w:tmpl w:val="4048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D26F2"/>
    <w:multiLevelType w:val="hybridMultilevel"/>
    <w:tmpl w:val="886642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AA70B1"/>
    <w:multiLevelType w:val="hybridMultilevel"/>
    <w:tmpl w:val="06E6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714EF"/>
    <w:multiLevelType w:val="hybridMultilevel"/>
    <w:tmpl w:val="48A42D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A06975"/>
    <w:multiLevelType w:val="hybridMultilevel"/>
    <w:tmpl w:val="02CCBBCA"/>
    <w:lvl w:ilvl="0" w:tplc="BD9205D2">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F4B31"/>
    <w:multiLevelType w:val="hybridMultilevel"/>
    <w:tmpl w:val="6010AB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AB2745"/>
    <w:multiLevelType w:val="multilevel"/>
    <w:tmpl w:val="8164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157120"/>
    <w:multiLevelType w:val="hybridMultilevel"/>
    <w:tmpl w:val="A52646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B24EF434">
      <w:numFmt w:val="bullet"/>
      <w:lvlText w:val="•"/>
      <w:lvlJc w:val="left"/>
      <w:pPr>
        <w:ind w:left="2160" w:hanging="720"/>
      </w:pPr>
      <w:rPr>
        <w:rFonts w:ascii="Calibri" w:eastAsia="Arial"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EB0E18"/>
    <w:multiLevelType w:val="multilevel"/>
    <w:tmpl w:val="AF62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F2024E"/>
    <w:multiLevelType w:val="hybridMultilevel"/>
    <w:tmpl w:val="C562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2D73A2"/>
    <w:multiLevelType w:val="hybridMultilevel"/>
    <w:tmpl w:val="B0CAA0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EA53DB"/>
    <w:multiLevelType w:val="hybridMultilevel"/>
    <w:tmpl w:val="9C30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0C72B7"/>
    <w:multiLevelType w:val="hybridMultilevel"/>
    <w:tmpl w:val="57D2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597054"/>
    <w:multiLevelType w:val="multilevel"/>
    <w:tmpl w:val="285C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120738"/>
    <w:multiLevelType w:val="hybridMultilevel"/>
    <w:tmpl w:val="605891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3B1249"/>
    <w:multiLevelType w:val="multilevel"/>
    <w:tmpl w:val="394A1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9F7302"/>
    <w:multiLevelType w:val="hybridMultilevel"/>
    <w:tmpl w:val="D88A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422B8F"/>
    <w:multiLevelType w:val="multilevel"/>
    <w:tmpl w:val="75DE3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216E05"/>
    <w:multiLevelType w:val="multilevel"/>
    <w:tmpl w:val="F0A4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90226A"/>
    <w:multiLevelType w:val="multilevel"/>
    <w:tmpl w:val="EDB83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EA03B3"/>
    <w:multiLevelType w:val="hybridMultilevel"/>
    <w:tmpl w:val="11E4AB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8"/>
  </w:num>
  <w:num w:numId="5">
    <w:abstractNumId w:val="4"/>
  </w:num>
  <w:num w:numId="6">
    <w:abstractNumId w:val="12"/>
  </w:num>
  <w:num w:numId="7">
    <w:abstractNumId w:val="14"/>
  </w:num>
  <w:num w:numId="8">
    <w:abstractNumId w:val="19"/>
  </w:num>
  <w:num w:numId="9">
    <w:abstractNumId w:val="24"/>
  </w:num>
  <w:num w:numId="10">
    <w:abstractNumId w:val="2"/>
  </w:num>
  <w:num w:numId="11">
    <w:abstractNumId w:val="1"/>
  </w:num>
  <w:num w:numId="12">
    <w:abstractNumId w:val="18"/>
  </w:num>
  <w:num w:numId="13">
    <w:abstractNumId w:val="5"/>
  </w:num>
  <w:num w:numId="14">
    <w:abstractNumId w:val="26"/>
  </w:num>
  <w:num w:numId="15">
    <w:abstractNumId w:val="6"/>
  </w:num>
  <w:num w:numId="16">
    <w:abstractNumId w:val="15"/>
  </w:num>
  <w:num w:numId="17">
    <w:abstractNumId w:val="0"/>
  </w:num>
  <w:num w:numId="18">
    <w:abstractNumId w:val="17"/>
  </w:num>
  <w:num w:numId="19">
    <w:abstractNumId w:val="22"/>
  </w:num>
  <w:num w:numId="20">
    <w:abstractNumId w:val="25"/>
  </w:num>
  <w:num w:numId="21">
    <w:abstractNumId w:val="23"/>
  </w:num>
  <w:num w:numId="22">
    <w:abstractNumId w:val="21"/>
  </w:num>
  <w:num w:numId="23">
    <w:abstractNumId w:val="10"/>
  </w:num>
  <w:num w:numId="24">
    <w:abstractNumId w:val="3"/>
  </w:num>
  <w:num w:numId="25">
    <w:abstractNumId w:val="13"/>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14"/>
    <w:rsid w:val="00001065"/>
    <w:rsid w:val="00041F55"/>
    <w:rsid w:val="0006144B"/>
    <w:rsid w:val="000765C0"/>
    <w:rsid w:val="00094FE5"/>
    <w:rsid w:val="000A51A2"/>
    <w:rsid w:val="00191B7B"/>
    <w:rsid w:val="001B3E14"/>
    <w:rsid w:val="001D67D0"/>
    <w:rsid w:val="001E3ACC"/>
    <w:rsid w:val="001F052E"/>
    <w:rsid w:val="002563CF"/>
    <w:rsid w:val="00286C8F"/>
    <w:rsid w:val="002B1E92"/>
    <w:rsid w:val="002D3C02"/>
    <w:rsid w:val="00315A4C"/>
    <w:rsid w:val="003268A1"/>
    <w:rsid w:val="00365FA8"/>
    <w:rsid w:val="00380E1D"/>
    <w:rsid w:val="003D0111"/>
    <w:rsid w:val="003D544C"/>
    <w:rsid w:val="0040110A"/>
    <w:rsid w:val="00412E89"/>
    <w:rsid w:val="00421CFE"/>
    <w:rsid w:val="004241EF"/>
    <w:rsid w:val="004402ED"/>
    <w:rsid w:val="0044086E"/>
    <w:rsid w:val="0045528E"/>
    <w:rsid w:val="00484914"/>
    <w:rsid w:val="00491AA3"/>
    <w:rsid w:val="004A0322"/>
    <w:rsid w:val="004A491C"/>
    <w:rsid w:val="004C54A3"/>
    <w:rsid w:val="004C5A3B"/>
    <w:rsid w:val="004D7C45"/>
    <w:rsid w:val="00540257"/>
    <w:rsid w:val="00544B8A"/>
    <w:rsid w:val="0056032D"/>
    <w:rsid w:val="005657D7"/>
    <w:rsid w:val="00590337"/>
    <w:rsid w:val="006272DC"/>
    <w:rsid w:val="006338DF"/>
    <w:rsid w:val="00637AD0"/>
    <w:rsid w:val="0064475D"/>
    <w:rsid w:val="00674B20"/>
    <w:rsid w:val="0069486E"/>
    <w:rsid w:val="006A28A3"/>
    <w:rsid w:val="006B0AE6"/>
    <w:rsid w:val="00772931"/>
    <w:rsid w:val="00786AE7"/>
    <w:rsid w:val="007D0888"/>
    <w:rsid w:val="00805C75"/>
    <w:rsid w:val="00827787"/>
    <w:rsid w:val="00846977"/>
    <w:rsid w:val="00883581"/>
    <w:rsid w:val="008F4959"/>
    <w:rsid w:val="00903079"/>
    <w:rsid w:val="00922069"/>
    <w:rsid w:val="00922C22"/>
    <w:rsid w:val="009717EE"/>
    <w:rsid w:val="009910C9"/>
    <w:rsid w:val="00992BE1"/>
    <w:rsid w:val="009970FF"/>
    <w:rsid w:val="009C7E97"/>
    <w:rsid w:val="009E5DFC"/>
    <w:rsid w:val="00A027B3"/>
    <w:rsid w:val="00A07581"/>
    <w:rsid w:val="00A32C61"/>
    <w:rsid w:val="00A46A19"/>
    <w:rsid w:val="00A731AD"/>
    <w:rsid w:val="00AC1842"/>
    <w:rsid w:val="00AF204B"/>
    <w:rsid w:val="00B77B16"/>
    <w:rsid w:val="00BD6762"/>
    <w:rsid w:val="00BF2FFB"/>
    <w:rsid w:val="00C36245"/>
    <w:rsid w:val="00C3742B"/>
    <w:rsid w:val="00C55473"/>
    <w:rsid w:val="00C56C5C"/>
    <w:rsid w:val="00C6669E"/>
    <w:rsid w:val="00CE4CF7"/>
    <w:rsid w:val="00D4739D"/>
    <w:rsid w:val="00DB5DDB"/>
    <w:rsid w:val="00DC0276"/>
    <w:rsid w:val="00DE2236"/>
    <w:rsid w:val="00E361A4"/>
    <w:rsid w:val="00E94845"/>
    <w:rsid w:val="00F34758"/>
    <w:rsid w:val="00F668C4"/>
    <w:rsid w:val="00F85D41"/>
    <w:rsid w:val="00FC2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711AEBD-E4F4-49AA-937C-E4128264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37"/>
    <w:rPr>
      <w:sz w:val="24"/>
      <w:szCs w:val="24"/>
    </w:rPr>
  </w:style>
  <w:style w:type="paragraph" w:styleId="Heading1">
    <w:name w:val="heading 1"/>
    <w:basedOn w:val="Normal"/>
    <w:next w:val="Normal"/>
    <w:link w:val="Heading1Char"/>
    <w:uiPriority w:val="9"/>
    <w:qFormat/>
    <w:rsid w:val="00412E8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412E8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12E8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12E8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12E8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12E8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12E89"/>
    <w:pPr>
      <w:spacing w:before="240" w:after="60"/>
      <w:outlineLvl w:val="6"/>
    </w:pPr>
  </w:style>
  <w:style w:type="paragraph" w:styleId="Heading8">
    <w:name w:val="heading 8"/>
    <w:basedOn w:val="Normal"/>
    <w:next w:val="Normal"/>
    <w:link w:val="Heading8Char"/>
    <w:uiPriority w:val="9"/>
    <w:semiHidden/>
    <w:unhideWhenUsed/>
    <w:qFormat/>
    <w:rsid w:val="00412E89"/>
    <w:pPr>
      <w:spacing w:before="240" w:after="60"/>
      <w:outlineLvl w:val="7"/>
    </w:pPr>
    <w:rPr>
      <w:i/>
      <w:iCs/>
    </w:rPr>
  </w:style>
  <w:style w:type="paragraph" w:styleId="Heading9">
    <w:name w:val="heading 9"/>
    <w:basedOn w:val="Normal"/>
    <w:next w:val="Normal"/>
    <w:link w:val="Heading9Char"/>
    <w:uiPriority w:val="9"/>
    <w:semiHidden/>
    <w:unhideWhenUsed/>
    <w:qFormat/>
    <w:rsid w:val="00412E8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E8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12E8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12E8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12E89"/>
    <w:rPr>
      <w:b/>
      <w:bCs/>
      <w:sz w:val="28"/>
      <w:szCs w:val="28"/>
    </w:rPr>
  </w:style>
  <w:style w:type="character" w:customStyle="1" w:styleId="Heading5Char">
    <w:name w:val="Heading 5 Char"/>
    <w:basedOn w:val="DefaultParagraphFont"/>
    <w:link w:val="Heading5"/>
    <w:uiPriority w:val="9"/>
    <w:semiHidden/>
    <w:rsid w:val="00412E89"/>
    <w:rPr>
      <w:b/>
      <w:bCs/>
      <w:i/>
      <w:iCs/>
      <w:sz w:val="26"/>
      <w:szCs w:val="26"/>
    </w:rPr>
  </w:style>
  <w:style w:type="character" w:customStyle="1" w:styleId="Heading6Char">
    <w:name w:val="Heading 6 Char"/>
    <w:basedOn w:val="DefaultParagraphFont"/>
    <w:link w:val="Heading6"/>
    <w:uiPriority w:val="9"/>
    <w:semiHidden/>
    <w:rsid w:val="00412E89"/>
    <w:rPr>
      <w:b/>
      <w:bCs/>
    </w:rPr>
  </w:style>
  <w:style w:type="character" w:customStyle="1" w:styleId="Heading7Char">
    <w:name w:val="Heading 7 Char"/>
    <w:basedOn w:val="DefaultParagraphFont"/>
    <w:link w:val="Heading7"/>
    <w:uiPriority w:val="9"/>
    <w:semiHidden/>
    <w:rsid w:val="00412E89"/>
    <w:rPr>
      <w:sz w:val="24"/>
      <w:szCs w:val="24"/>
    </w:rPr>
  </w:style>
  <w:style w:type="character" w:customStyle="1" w:styleId="Heading8Char">
    <w:name w:val="Heading 8 Char"/>
    <w:basedOn w:val="DefaultParagraphFont"/>
    <w:link w:val="Heading8"/>
    <w:uiPriority w:val="9"/>
    <w:semiHidden/>
    <w:rsid w:val="00412E89"/>
    <w:rPr>
      <w:i/>
      <w:iCs/>
      <w:sz w:val="24"/>
      <w:szCs w:val="24"/>
    </w:rPr>
  </w:style>
  <w:style w:type="character" w:customStyle="1" w:styleId="Heading9Char">
    <w:name w:val="Heading 9 Char"/>
    <w:basedOn w:val="DefaultParagraphFont"/>
    <w:link w:val="Heading9"/>
    <w:uiPriority w:val="9"/>
    <w:semiHidden/>
    <w:rsid w:val="00412E89"/>
    <w:rPr>
      <w:rFonts w:asciiTheme="majorHAnsi" w:eastAsiaTheme="majorEastAsia" w:hAnsiTheme="majorHAnsi"/>
    </w:rPr>
  </w:style>
  <w:style w:type="paragraph" w:styleId="Title">
    <w:name w:val="Title"/>
    <w:basedOn w:val="Normal"/>
    <w:next w:val="Normal"/>
    <w:link w:val="TitleChar"/>
    <w:uiPriority w:val="10"/>
    <w:qFormat/>
    <w:rsid w:val="00412E8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12E8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12E8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12E89"/>
    <w:rPr>
      <w:rFonts w:asciiTheme="majorHAnsi" w:eastAsiaTheme="majorEastAsia" w:hAnsiTheme="majorHAnsi"/>
      <w:sz w:val="24"/>
      <w:szCs w:val="24"/>
    </w:rPr>
  </w:style>
  <w:style w:type="character" w:styleId="Strong">
    <w:name w:val="Strong"/>
    <w:basedOn w:val="DefaultParagraphFont"/>
    <w:uiPriority w:val="22"/>
    <w:qFormat/>
    <w:rsid w:val="00412E89"/>
    <w:rPr>
      <w:b/>
      <w:bCs/>
    </w:rPr>
  </w:style>
  <w:style w:type="character" w:styleId="Emphasis">
    <w:name w:val="Emphasis"/>
    <w:basedOn w:val="DefaultParagraphFont"/>
    <w:uiPriority w:val="20"/>
    <w:qFormat/>
    <w:rsid w:val="00412E89"/>
    <w:rPr>
      <w:rFonts w:asciiTheme="minorHAnsi" w:hAnsiTheme="minorHAnsi"/>
      <w:b/>
      <w:i/>
      <w:iCs/>
    </w:rPr>
  </w:style>
  <w:style w:type="paragraph" w:styleId="NoSpacing">
    <w:name w:val="No Spacing"/>
    <w:basedOn w:val="Normal"/>
    <w:link w:val="NoSpacingChar"/>
    <w:uiPriority w:val="1"/>
    <w:qFormat/>
    <w:rsid w:val="00412E89"/>
    <w:rPr>
      <w:szCs w:val="32"/>
    </w:rPr>
  </w:style>
  <w:style w:type="paragraph" w:styleId="ListParagraph">
    <w:name w:val="List Paragraph"/>
    <w:basedOn w:val="Normal"/>
    <w:uiPriority w:val="34"/>
    <w:qFormat/>
    <w:rsid w:val="00412E89"/>
    <w:pPr>
      <w:ind w:left="720"/>
      <w:contextualSpacing/>
    </w:pPr>
  </w:style>
  <w:style w:type="paragraph" w:styleId="Quote">
    <w:name w:val="Quote"/>
    <w:basedOn w:val="Normal"/>
    <w:next w:val="Normal"/>
    <w:link w:val="QuoteChar"/>
    <w:uiPriority w:val="29"/>
    <w:qFormat/>
    <w:rsid w:val="00412E89"/>
    <w:rPr>
      <w:i/>
    </w:rPr>
  </w:style>
  <w:style w:type="character" w:customStyle="1" w:styleId="QuoteChar">
    <w:name w:val="Quote Char"/>
    <w:basedOn w:val="DefaultParagraphFont"/>
    <w:link w:val="Quote"/>
    <w:uiPriority w:val="29"/>
    <w:rsid w:val="00412E89"/>
    <w:rPr>
      <w:i/>
      <w:sz w:val="24"/>
      <w:szCs w:val="24"/>
    </w:rPr>
  </w:style>
  <w:style w:type="paragraph" w:styleId="IntenseQuote">
    <w:name w:val="Intense Quote"/>
    <w:basedOn w:val="Normal"/>
    <w:next w:val="Normal"/>
    <w:link w:val="IntenseQuoteChar"/>
    <w:uiPriority w:val="30"/>
    <w:qFormat/>
    <w:rsid w:val="00412E89"/>
    <w:pPr>
      <w:ind w:left="720" w:right="720"/>
    </w:pPr>
    <w:rPr>
      <w:b/>
      <w:i/>
      <w:szCs w:val="22"/>
    </w:rPr>
  </w:style>
  <w:style w:type="character" w:customStyle="1" w:styleId="IntenseQuoteChar">
    <w:name w:val="Intense Quote Char"/>
    <w:basedOn w:val="DefaultParagraphFont"/>
    <w:link w:val="IntenseQuote"/>
    <w:uiPriority w:val="30"/>
    <w:rsid w:val="00412E89"/>
    <w:rPr>
      <w:b/>
      <w:i/>
      <w:sz w:val="24"/>
    </w:rPr>
  </w:style>
  <w:style w:type="character" w:styleId="SubtleEmphasis">
    <w:name w:val="Subtle Emphasis"/>
    <w:uiPriority w:val="19"/>
    <w:qFormat/>
    <w:rsid w:val="00412E89"/>
    <w:rPr>
      <w:i/>
      <w:color w:val="5A5A5A" w:themeColor="text1" w:themeTint="A5"/>
    </w:rPr>
  </w:style>
  <w:style w:type="character" w:styleId="IntenseEmphasis">
    <w:name w:val="Intense Emphasis"/>
    <w:basedOn w:val="DefaultParagraphFont"/>
    <w:uiPriority w:val="21"/>
    <w:qFormat/>
    <w:rsid w:val="00412E89"/>
    <w:rPr>
      <w:b/>
      <w:i/>
      <w:sz w:val="24"/>
      <w:szCs w:val="24"/>
      <w:u w:val="single"/>
    </w:rPr>
  </w:style>
  <w:style w:type="character" w:styleId="SubtleReference">
    <w:name w:val="Subtle Reference"/>
    <w:basedOn w:val="DefaultParagraphFont"/>
    <w:uiPriority w:val="31"/>
    <w:qFormat/>
    <w:rsid w:val="00412E89"/>
    <w:rPr>
      <w:sz w:val="24"/>
      <w:szCs w:val="24"/>
      <w:u w:val="single"/>
    </w:rPr>
  </w:style>
  <w:style w:type="character" w:styleId="IntenseReference">
    <w:name w:val="Intense Reference"/>
    <w:basedOn w:val="DefaultParagraphFont"/>
    <w:uiPriority w:val="32"/>
    <w:qFormat/>
    <w:rsid w:val="00412E89"/>
    <w:rPr>
      <w:b/>
      <w:sz w:val="24"/>
      <w:u w:val="single"/>
    </w:rPr>
  </w:style>
  <w:style w:type="character" w:styleId="BookTitle">
    <w:name w:val="Book Title"/>
    <w:basedOn w:val="DefaultParagraphFont"/>
    <w:uiPriority w:val="33"/>
    <w:qFormat/>
    <w:rsid w:val="00412E8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12E89"/>
    <w:pPr>
      <w:outlineLvl w:val="9"/>
    </w:pPr>
  </w:style>
  <w:style w:type="character" w:customStyle="1" w:styleId="NoSpacingChar">
    <w:name w:val="No Spacing Char"/>
    <w:basedOn w:val="DefaultParagraphFont"/>
    <w:link w:val="NoSpacing"/>
    <w:uiPriority w:val="1"/>
    <w:rsid w:val="00484914"/>
    <w:rPr>
      <w:sz w:val="24"/>
      <w:szCs w:val="32"/>
    </w:rPr>
  </w:style>
  <w:style w:type="paragraph" w:styleId="BalloonText">
    <w:name w:val="Balloon Text"/>
    <w:basedOn w:val="Normal"/>
    <w:link w:val="BalloonTextChar"/>
    <w:uiPriority w:val="99"/>
    <w:semiHidden/>
    <w:unhideWhenUsed/>
    <w:rsid w:val="00484914"/>
    <w:rPr>
      <w:rFonts w:ascii="Tahoma" w:hAnsi="Tahoma" w:cs="Tahoma"/>
      <w:sz w:val="16"/>
      <w:szCs w:val="16"/>
    </w:rPr>
  </w:style>
  <w:style w:type="character" w:customStyle="1" w:styleId="BalloonTextChar">
    <w:name w:val="Balloon Text Char"/>
    <w:basedOn w:val="DefaultParagraphFont"/>
    <w:link w:val="BalloonText"/>
    <w:uiPriority w:val="99"/>
    <w:semiHidden/>
    <w:rsid w:val="00484914"/>
    <w:rPr>
      <w:rFonts w:ascii="Tahoma" w:hAnsi="Tahoma" w:cs="Tahoma"/>
      <w:sz w:val="16"/>
      <w:szCs w:val="16"/>
    </w:rPr>
  </w:style>
  <w:style w:type="paragraph" w:styleId="Header">
    <w:name w:val="header"/>
    <w:basedOn w:val="Normal"/>
    <w:link w:val="HeaderChar"/>
    <w:unhideWhenUsed/>
    <w:rsid w:val="000765C0"/>
    <w:pPr>
      <w:tabs>
        <w:tab w:val="center" w:pos="4513"/>
        <w:tab w:val="right" w:pos="9026"/>
      </w:tabs>
    </w:pPr>
  </w:style>
  <w:style w:type="character" w:customStyle="1" w:styleId="HeaderChar">
    <w:name w:val="Header Char"/>
    <w:basedOn w:val="DefaultParagraphFont"/>
    <w:link w:val="Header"/>
    <w:uiPriority w:val="99"/>
    <w:rsid w:val="000765C0"/>
    <w:rPr>
      <w:sz w:val="24"/>
      <w:szCs w:val="24"/>
    </w:rPr>
  </w:style>
  <w:style w:type="paragraph" w:styleId="Footer">
    <w:name w:val="footer"/>
    <w:basedOn w:val="Normal"/>
    <w:link w:val="FooterChar"/>
    <w:uiPriority w:val="99"/>
    <w:unhideWhenUsed/>
    <w:rsid w:val="000765C0"/>
    <w:pPr>
      <w:tabs>
        <w:tab w:val="center" w:pos="4513"/>
        <w:tab w:val="right" w:pos="9026"/>
      </w:tabs>
    </w:pPr>
  </w:style>
  <w:style w:type="character" w:customStyle="1" w:styleId="FooterChar">
    <w:name w:val="Footer Char"/>
    <w:basedOn w:val="DefaultParagraphFont"/>
    <w:link w:val="Footer"/>
    <w:uiPriority w:val="99"/>
    <w:rsid w:val="000765C0"/>
    <w:rPr>
      <w:sz w:val="24"/>
      <w:szCs w:val="24"/>
    </w:rPr>
  </w:style>
  <w:style w:type="table" w:styleId="TableGrid">
    <w:name w:val="Table Grid"/>
    <w:basedOn w:val="TableNormal"/>
    <w:uiPriority w:val="39"/>
    <w:rsid w:val="002D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669E"/>
    <w:pPr>
      <w:spacing w:before="100" w:beforeAutospacing="1" w:after="100" w:afterAutospacing="1"/>
    </w:pPr>
    <w:rPr>
      <w:rFonts w:ascii="Times New Roman" w:eastAsia="Times New Roman" w:hAnsi="Times New Roman"/>
      <w:lang w:eastAsia="en-GB"/>
    </w:rPr>
  </w:style>
  <w:style w:type="character" w:styleId="Hyperlink">
    <w:name w:val="Hyperlink"/>
    <w:uiPriority w:val="99"/>
    <w:rsid w:val="004241EF"/>
    <w:rPr>
      <w:color w:val="0000FF"/>
      <w:u w:val="single"/>
    </w:rPr>
  </w:style>
  <w:style w:type="character" w:styleId="FollowedHyperlink">
    <w:name w:val="FollowedHyperlink"/>
    <w:basedOn w:val="DefaultParagraphFont"/>
    <w:uiPriority w:val="99"/>
    <w:semiHidden/>
    <w:unhideWhenUsed/>
    <w:rsid w:val="00805C75"/>
    <w:rPr>
      <w:color w:val="800080" w:themeColor="followedHyperlink"/>
      <w:u w:val="single"/>
    </w:rPr>
  </w:style>
  <w:style w:type="paragraph" w:customStyle="1" w:styleId="DefaultText">
    <w:name w:val="Default Text"/>
    <w:basedOn w:val="Normal"/>
    <w:link w:val="DefaultTextChar"/>
    <w:rsid w:val="003D544C"/>
    <w:rPr>
      <w:rFonts w:ascii="Arial" w:eastAsia="Arial" w:hAnsi="Arial" w:cs="Arial"/>
      <w:color w:val="000000"/>
      <w:spacing w:val="-2"/>
      <w:szCs w:val="22"/>
    </w:rPr>
  </w:style>
  <w:style w:type="character" w:customStyle="1" w:styleId="DefaultTextChar">
    <w:name w:val="Default Text Char"/>
    <w:link w:val="DefaultText"/>
    <w:rsid w:val="003D544C"/>
    <w:rPr>
      <w:rFonts w:ascii="Arial" w:eastAsia="Arial" w:hAnsi="Arial" w:cs="Arial"/>
      <w:color w:val="000000"/>
      <w:spacing w:val="-2"/>
      <w:sz w:val="24"/>
    </w:rPr>
  </w:style>
  <w:style w:type="paragraph" w:customStyle="1" w:styleId="Bullet-01">
    <w:name w:val="Bullet-01"/>
    <w:basedOn w:val="Normal"/>
    <w:qFormat/>
    <w:rsid w:val="008F4959"/>
    <w:pPr>
      <w:numPr>
        <w:numId w:val="23"/>
      </w:numPr>
      <w:ind w:left="360"/>
      <w:jc w:val="both"/>
    </w:pPr>
    <w:rPr>
      <w:rFonts w:ascii="Calibri" w:eastAsia="Arial" w:hAnsi="Calibri" w:cs="Arial"/>
      <w:color w:val="000000"/>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2020-03-02T00:00:00</PublishDate>
  <Abstract>Confidentiality Notice. This document and the information contained therein is the property of Staveleigh Medical Centre. This document contains information that is privileged, confidential or otherwise protected from disclosure. It must not be used by, or its contents reproduced or otherwise copied or disclosed without the prior consent in writing from Staveleigh Medical Centre.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1C474C-CD0F-4AA2-9E01-DED77FAA9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Access to Occupational Health Protocol</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Directives Protocol &amp; Patient Leaflet</dc:title>
  <dc:subject>Version 2.0</dc:subject>
  <dc:creator>Turner Martin (Mr)</dc:creator>
  <cp:lastModifiedBy>Turner Martin</cp:lastModifiedBy>
  <cp:revision>4</cp:revision>
  <cp:lastPrinted>2020-05-14T15:30:00Z</cp:lastPrinted>
  <dcterms:created xsi:type="dcterms:W3CDTF">2020-09-23T09:13:00Z</dcterms:created>
  <dcterms:modified xsi:type="dcterms:W3CDTF">2020-09-23T09:58:00Z</dcterms:modified>
</cp:coreProperties>
</file>