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BC7D0B" w:rsidP="00BC7D0B">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Parental Rights &amp; Responsibilities</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BC7D0B"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BC7D0B">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BC7D0B">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BC7D0B">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BC7D0B">
            <w:pPr>
              <w:jc w:val="center"/>
            </w:pPr>
            <w:r>
              <w:t>4</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BC7D0B" w:rsidP="00E33A42">
            <w:r>
              <w:t>Parental Rights &amp; Responsibilities Policy</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BC7D0B" w:rsidRPr="002D3C02" w:rsidTr="001E3ACC">
        <w:tc>
          <w:tcPr>
            <w:tcW w:w="977" w:type="dxa"/>
            <w:shd w:val="clear" w:color="auto" w:fill="auto"/>
          </w:tcPr>
          <w:p w:rsidR="00BC7D0B" w:rsidRDefault="00BC7D0B" w:rsidP="00BC7D0B">
            <w:pPr>
              <w:rPr>
                <w:sz w:val="20"/>
                <w:szCs w:val="20"/>
              </w:rPr>
            </w:pPr>
            <w:r>
              <w:rPr>
                <w:sz w:val="20"/>
                <w:szCs w:val="20"/>
              </w:rPr>
              <w:t>1.0</w:t>
            </w:r>
          </w:p>
        </w:tc>
        <w:tc>
          <w:tcPr>
            <w:tcW w:w="1541" w:type="dxa"/>
            <w:shd w:val="clear" w:color="auto" w:fill="auto"/>
          </w:tcPr>
          <w:p w:rsidR="00BC7D0B" w:rsidRPr="00BF7477" w:rsidRDefault="00BC7D0B" w:rsidP="00BC7D0B">
            <w:pPr>
              <w:rPr>
                <w:sz w:val="20"/>
                <w:szCs w:val="20"/>
              </w:rPr>
            </w:pPr>
            <w:r>
              <w:rPr>
                <w:sz w:val="20"/>
                <w:szCs w:val="20"/>
              </w:rPr>
              <w:t>March 14</w:t>
            </w:r>
          </w:p>
        </w:tc>
        <w:tc>
          <w:tcPr>
            <w:tcW w:w="1910" w:type="dxa"/>
            <w:shd w:val="clear" w:color="auto" w:fill="auto"/>
          </w:tcPr>
          <w:p w:rsidR="00BC7D0B" w:rsidRPr="00BF7477" w:rsidRDefault="00BC7D0B" w:rsidP="00BC7D0B">
            <w:pPr>
              <w:rPr>
                <w:sz w:val="20"/>
                <w:szCs w:val="20"/>
              </w:rPr>
            </w:pPr>
            <w:r>
              <w:rPr>
                <w:sz w:val="20"/>
                <w:szCs w:val="20"/>
              </w:rPr>
              <w:t>Mrs D Teasdale</w:t>
            </w:r>
          </w:p>
        </w:tc>
        <w:tc>
          <w:tcPr>
            <w:tcW w:w="1634" w:type="dxa"/>
            <w:shd w:val="clear" w:color="auto" w:fill="auto"/>
          </w:tcPr>
          <w:p w:rsidR="00BC7D0B" w:rsidRPr="00BF7477" w:rsidRDefault="00BC7D0B" w:rsidP="00BC7D0B">
            <w:pPr>
              <w:rPr>
                <w:sz w:val="20"/>
                <w:szCs w:val="20"/>
              </w:rPr>
            </w:pPr>
            <w:r>
              <w:rPr>
                <w:sz w:val="20"/>
                <w:szCs w:val="20"/>
              </w:rPr>
              <w:t>Dr S Ul-Haq</w:t>
            </w:r>
          </w:p>
        </w:tc>
        <w:tc>
          <w:tcPr>
            <w:tcW w:w="3526" w:type="dxa"/>
            <w:shd w:val="clear" w:color="auto" w:fill="auto"/>
          </w:tcPr>
          <w:p w:rsidR="00BC7D0B" w:rsidRPr="009E117F" w:rsidRDefault="00BC7D0B" w:rsidP="00BC7D0B">
            <w:pPr>
              <w:rPr>
                <w:rFonts w:cs="Calibri"/>
                <w:sz w:val="20"/>
                <w:szCs w:val="20"/>
              </w:rPr>
            </w:pPr>
          </w:p>
        </w:tc>
      </w:tr>
      <w:tr w:rsidR="00BC7D0B" w:rsidRPr="002D3C02" w:rsidTr="001E3ACC">
        <w:tc>
          <w:tcPr>
            <w:tcW w:w="977" w:type="dxa"/>
            <w:shd w:val="clear" w:color="auto" w:fill="auto"/>
          </w:tcPr>
          <w:p w:rsidR="00BC7D0B" w:rsidRPr="009E117F" w:rsidRDefault="00BC7D0B" w:rsidP="00BC7D0B">
            <w:pPr>
              <w:rPr>
                <w:rFonts w:cs="Calibri"/>
                <w:sz w:val="20"/>
                <w:szCs w:val="20"/>
              </w:rPr>
            </w:pPr>
            <w:r>
              <w:rPr>
                <w:rFonts w:cs="Calibri"/>
                <w:sz w:val="20"/>
                <w:szCs w:val="20"/>
              </w:rPr>
              <w:t>1.1</w:t>
            </w:r>
          </w:p>
        </w:tc>
        <w:tc>
          <w:tcPr>
            <w:tcW w:w="1541" w:type="dxa"/>
            <w:shd w:val="clear" w:color="auto" w:fill="auto"/>
          </w:tcPr>
          <w:p w:rsidR="00BC7D0B" w:rsidRPr="00BF7477" w:rsidRDefault="00BC7D0B" w:rsidP="00BC7D0B">
            <w:pPr>
              <w:rPr>
                <w:sz w:val="20"/>
                <w:szCs w:val="20"/>
              </w:rPr>
            </w:pPr>
            <w:r>
              <w:rPr>
                <w:sz w:val="20"/>
                <w:szCs w:val="20"/>
              </w:rPr>
              <w:t>April 18</w:t>
            </w:r>
          </w:p>
        </w:tc>
        <w:tc>
          <w:tcPr>
            <w:tcW w:w="1910" w:type="dxa"/>
            <w:shd w:val="clear" w:color="auto" w:fill="auto"/>
          </w:tcPr>
          <w:p w:rsidR="00BC7D0B" w:rsidRPr="00BF7477" w:rsidRDefault="00BC7D0B" w:rsidP="00BC7D0B">
            <w:pPr>
              <w:rPr>
                <w:sz w:val="20"/>
                <w:szCs w:val="20"/>
              </w:rPr>
            </w:pPr>
            <w:r>
              <w:rPr>
                <w:sz w:val="20"/>
                <w:szCs w:val="20"/>
              </w:rPr>
              <w:t>Mrs D Teasdale</w:t>
            </w:r>
          </w:p>
        </w:tc>
        <w:tc>
          <w:tcPr>
            <w:tcW w:w="1634" w:type="dxa"/>
            <w:shd w:val="clear" w:color="auto" w:fill="auto"/>
          </w:tcPr>
          <w:p w:rsidR="00BC7D0B" w:rsidRPr="00BF7477" w:rsidRDefault="00BC7D0B" w:rsidP="00BC7D0B">
            <w:pPr>
              <w:rPr>
                <w:sz w:val="20"/>
                <w:szCs w:val="20"/>
              </w:rPr>
            </w:pPr>
            <w:r>
              <w:rPr>
                <w:sz w:val="20"/>
                <w:szCs w:val="20"/>
              </w:rPr>
              <w:t>Dr J Shilhan</w:t>
            </w:r>
          </w:p>
        </w:tc>
        <w:tc>
          <w:tcPr>
            <w:tcW w:w="3526" w:type="dxa"/>
            <w:shd w:val="clear" w:color="auto" w:fill="auto"/>
          </w:tcPr>
          <w:p w:rsidR="00BC7D0B" w:rsidRPr="009E117F" w:rsidRDefault="00BC7D0B" w:rsidP="00BC7D0B">
            <w:pPr>
              <w:rPr>
                <w:rFonts w:cs="Calibri"/>
                <w:sz w:val="20"/>
                <w:szCs w:val="20"/>
              </w:rPr>
            </w:pPr>
          </w:p>
        </w:tc>
      </w:tr>
      <w:tr w:rsidR="00BC7D0B" w:rsidRPr="002D3C02" w:rsidTr="001E3ACC">
        <w:tc>
          <w:tcPr>
            <w:tcW w:w="977" w:type="dxa"/>
            <w:shd w:val="clear" w:color="auto" w:fill="auto"/>
          </w:tcPr>
          <w:p w:rsidR="00BC7D0B" w:rsidRPr="009E117F" w:rsidRDefault="00BC7D0B" w:rsidP="00BC7D0B">
            <w:pPr>
              <w:rPr>
                <w:rFonts w:cs="Calibri"/>
                <w:sz w:val="20"/>
                <w:szCs w:val="20"/>
              </w:rPr>
            </w:pPr>
            <w:r>
              <w:rPr>
                <w:rFonts w:cs="Calibri"/>
                <w:sz w:val="20"/>
                <w:szCs w:val="20"/>
              </w:rPr>
              <w:t>2.0</w:t>
            </w:r>
          </w:p>
        </w:tc>
        <w:tc>
          <w:tcPr>
            <w:tcW w:w="1541" w:type="dxa"/>
            <w:shd w:val="clear" w:color="auto" w:fill="auto"/>
          </w:tcPr>
          <w:p w:rsidR="00BC7D0B" w:rsidRPr="009E117F" w:rsidRDefault="00BC7D0B" w:rsidP="00BC7D0B">
            <w:pPr>
              <w:rPr>
                <w:rFonts w:cs="Calibri"/>
                <w:sz w:val="20"/>
                <w:szCs w:val="20"/>
              </w:rPr>
            </w:pPr>
            <w:r>
              <w:rPr>
                <w:rFonts w:cs="Calibri"/>
                <w:sz w:val="20"/>
                <w:szCs w:val="20"/>
              </w:rPr>
              <w:t>Sept 20</w:t>
            </w:r>
          </w:p>
        </w:tc>
        <w:tc>
          <w:tcPr>
            <w:tcW w:w="1910" w:type="dxa"/>
            <w:shd w:val="clear" w:color="auto" w:fill="auto"/>
          </w:tcPr>
          <w:p w:rsidR="00BC7D0B" w:rsidRPr="009E117F" w:rsidRDefault="00BC7D0B" w:rsidP="00BC7D0B">
            <w:pPr>
              <w:rPr>
                <w:rFonts w:cs="Calibri"/>
                <w:sz w:val="20"/>
                <w:szCs w:val="20"/>
              </w:rPr>
            </w:pPr>
            <w:r>
              <w:rPr>
                <w:rFonts w:cs="Calibri"/>
                <w:sz w:val="20"/>
                <w:szCs w:val="20"/>
              </w:rPr>
              <w:t>Mr M Turner</w:t>
            </w:r>
          </w:p>
        </w:tc>
        <w:tc>
          <w:tcPr>
            <w:tcW w:w="1634" w:type="dxa"/>
            <w:shd w:val="clear" w:color="auto" w:fill="auto"/>
          </w:tcPr>
          <w:p w:rsidR="00BC7D0B" w:rsidRPr="009E117F" w:rsidRDefault="00BC7D0B" w:rsidP="00BC7D0B">
            <w:pPr>
              <w:rPr>
                <w:rFonts w:cs="Calibri"/>
                <w:sz w:val="20"/>
                <w:szCs w:val="20"/>
              </w:rPr>
            </w:pPr>
          </w:p>
        </w:tc>
        <w:tc>
          <w:tcPr>
            <w:tcW w:w="3526" w:type="dxa"/>
            <w:shd w:val="clear" w:color="auto" w:fill="auto"/>
          </w:tcPr>
          <w:p w:rsidR="00BC7D0B" w:rsidRPr="009E117F" w:rsidRDefault="00BC7D0B" w:rsidP="00BC7D0B">
            <w:pPr>
              <w:rPr>
                <w:rFonts w:cs="Calibri"/>
                <w:sz w:val="20"/>
                <w:szCs w:val="20"/>
              </w:rPr>
            </w:pPr>
            <w:r>
              <w:rPr>
                <w:rFonts w:cs="Calibri"/>
                <w:sz w:val="20"/>
                <w:szCs w:val="20"/>
              </w:rPr>
              <w:t>Formatting</w:t>
            </w:r>
          </w:p>
        </w:tc>
      </w:tr>
      <w:tr w:rsidR="00BC7D0B" w:rsidRPr="002D3C02" w:rsidTr="001E3ACC">
        <w:tc>
          <w:tcPr>
            <w:tcW w:w="977" w:type="dxa"/>
            <w:shd w:val="clear" w:color="auto" w:fill="auto"/>
          </w:tcPr>
          <w:p w:rsidR="00BC7D0B" w:rsidRPr="0040110A" w:rsidRDefault="00BC7D0B" w:rsidP="00BC7D0B"/>
        </w:tc>
        <w:tc>
          <w:tcPr>
            <w:tcW w:w="1541" w:type="dxa"/>
            <w:shd w:val="clear" w:color="auto" w:fill="auto"/>
          </w:tcPr>
          <w:p w:rsidR="00BC7D0B" w:rsidRPr="0040110A" w:rsidRDefault="00BC7D0B" w:rsidP="00BC7D0B"/>
        </w:tc>
        <w:tc>
          <w:tcPr>
            <w:tcW w:w="1910" w:type="dxa"/>
            <w:shd w:val="clear" w:color="auto" w:fill="auto"/>
          </w:tcPr>
          <w:p w:rsidR="00BC7D0B" w:rsidRPr="0040110A" w:rsidRDefault="00BC7D0B" w:rsidP="00BC7D0B"/>
        </w:tc>
        <w:tc>
          <w:tcPr>
            <w:tcW w:w="1634" w:type="dxa"/>
            <w:shd w:val="clear" w:color="auto" w:fill="auto"/>
          </w:tcPr>
          <w:p w:rsidR="00BC7D0B" w:rsidRPr="0040110A" w:rsidRDefault="00BC7D0B" w:rsidP="00BC7D0B"/>
        </w:tc>
        <w:tc>
          <w:tcPr>
            <w:tcW w:w="3526" w:type="dxa"/>
            <w:shd w:val="clear" w:color="auto" w:fill="auto"/>
          </w:tcPr>
          <w:p w:rsidR="00BC7D0B" w:rsidRPr="0040110A" w:rsidRDefault="00BC7D0B" w:rsidP="00BC7D0B"/>
        </w:tc>
      </w:tr>
      <w:tr w:rsidR="00BC7D0B" w:rsidRPr="002D3C02" w:rsidTr="001E3ACC">
        <w:tc>
          <w:tcPr>
            <w:tcW w:w="977" w:type="dxa"/>
            <w:shd w:val="clear" w:color="auto" w:fill="auto"/>
          </w:tcPr>
          <w:p w:rsidR="00BC7D0B" w:rsidRPr="001E3ACC" w:rsidRDefault="00BC7D0B" w:rsidP="00BC7D0B"/>
        </w:tc>
        <w:tc>
          <w:tcPr>
            <w:tcW w:w="1541" w:type="dxa"/>
            <w:shd w:val="clear" w:color="auto" w:fill="auto"/>
          </w:tcPr>
          <w:p w:rsidR="00BC7D0B" w:rsidRPr="001E3ACC" w:rsidRDefault="00BC7D0B" w:rsidP="00BC7D0B"/>
        </w:tc>
        <w:tc>
          <w:tcPr>
            <w:tcW w:w="1910" w:type="dxa"/>
            <w:shd w:val="clear" w:color="auto" w:fill="auto"/>
          </w:tcPr>
          <w:p w:rsidR="00BC7D0B" w:rsidRPr="001E3ACC" w:rsidRDefault="00BC7D0B" w:rsidP="00BC7D0B"/>
        </w:tc>
        <w:tc>
          <w:tcPr>
            <w:tcW w:w="1634" w:type="dxa"/>
            <w:shd w:val="clear" w:color="auto" w:fill="auto"/>
          </w:tcPr>
          <w:p w:rsidR="00BC7D0B" w:rsidRPr="001E3ACC" w:rsidRDefault="00BC7D0B" w:rsidP="00BC7D0B"/>
        </w:tc>
        <w:tc>
          <w:tcPr>
            <w:tcW w:w="3526" w:type="dxa"/>
            <w:shd w:val="clear" w:color="auto" w:fill="auto"/>
          </w:tcPr>
          <w:p w:rsidR="00BC7D0B" w:rsidRPr="001E3ACC" w:rsidRDefault="00BC7D0B" w:rsidP="00BC7D0B"/>
        </w:tc>
      </w:tr>
      <w:tr w:rsidR="00BC7D0B" w:rsidRPr="002D3C02" w:rsidTr="001E3ACC">
        <w:tc>
          <w:tcPr>
            <w:tcW w:w="977" w:type="dxa"/>
            <w:shd w:val="clear" w:color="auto" w:fill="auto"/>
          </w:tcPr>
          <w:p w:rsidR="00BC7D0B" w:rsidRPr="001E3ACC" w:rsidRDefault="00BC7D0B" w:rsidP="00BC7D0B"/>
        </w:tc>
        <w:tc>
          <w:tcPr>
            <w:tcW w:w="1541" w:type="dxa"/>
            <w:shd w:val="clear" w:color="auto" w:fill="auto"/>
          </w:tcPr>
          <w:p w:rsidR="00BC7D0B" w:rsidRPr="001E3ACC" w:rsidRDefault="00BC7D0B" w:rsidP="00BC7D0B"/>
        </w:tc>
        <w:tc>
          <w:tcPr>
            <w:tcW w:w="1910" w:type="dxa"/>
            <w:shd w:val="clear" w:color="auto" w:fill="auto"/>
          </w:tcPr>
          <w:p w:rsidR="00BC7D0B" w:rsidRPr="001E3ACC" w:rsidRDefault="00BC7D0B" w:rsidP="00BC7D0B"/>
        </w:tc>
        <w:tc>
          <w:tcPr>
            <w:tcW w:w="1634" w:type="dxa"/>
            <w:shd w:val="clear" w:color="auto" w:fill="auto"/>
          </w:tcPr>
          <w:p w:rsidR="00BC7D0B" w:rsidRPr="001E3ACC" w:rsidRDefault="00BC7D0B" w:rsidP="00BC7D0B"/>
        </w:tc>
        <w:tc>
          <w:tcPr>
            <w:tcW w:w="3526" w:type="dxa"/>
            <w:shd w:val="clear" w:color="auto" w:fill="auto"/>
          </w:tcPr>
          <w:p w:rsidR="00BC7D0B" w:rsidRPr="001E3ACC" w:rsidRDefault="00BC7D0B" w:rsidP="00BC7D0B"/>
        </w:tc>
      </w:tr>
      <w:tr w:rsidR="00BC7D0B" w:rsidRPr="002D3C02" w:rsidTr="001E3ACC">
        <w:tc>
          <w:tcPr>
            <w:tcW w:w="977" w:type="dxa"/>
            <w:shd w:val="clear" w:color="auto" w:fill="auto"/>
          </w:tcPr>
          <w:p w:rsidR="00BC7D0B" w:rsidRPr="002D3C02" w:rsidRDefault="00BC7D0B" w:rsidP="00BC7D0B"/>
        </w:tc>
        <w:tc>
          <w:tcPr>
            <w:tcW w:w="1541" w:type="dxa"/>
            <w:shd w:val="clear" w:color="auto" w:fill="auto"/>
          </w:tcPr>
          <w:p w:rsidR="00BC7D0B" w:rsidRPr="002D3C02" w:rsidRDefault="00BC7D0B" w:rsidP="00BC7D0B"/>
        </w:tc>
        <w:tc>
          <w:tcPr>
            <w:tcW w:w="1910" w:type="dxa"/>
            <w:shd w:val="clear" w:color="auto" w:fill="auto"/>
          </w:tcPr>
          <w:p w:rsidR="00BC7D0B" w:rsidRPr="002D3C02" w:rsidRDefault="00BC7D0B" w:rsidP="00BC7D0B"/>
        </w:tc>
        <w:tc>
          <w:tcPr>
            <w:tcW w:w="1634" w:type="dxa"/>
            <w:shd w:val="clear" w:color="auto" w:fill="auto"/>
          </w:tcPr>
          <w:p w:rsidR="00BC7D0B" w:rsidRPr="002D3C02" w:rsidRDefault="00BC7D0B" w:rsidP="00BC7D0B"/>
        </w:tc>
        <w:tc>
          <w:tcPr>
            <w:tcW w:w="3526" w:type="dxa"/>
            <w:shd w:val="clear" w:color="auto" w:fill="auto"/>
          </w:tcPr>
          <w:p w:rsidR="00BC7D0B" w:rsidRPr="002D3C02" w:rsidRDefault="00BC7D0B" w:rsidP="00BC7D0B"/>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BC7D0B" w:rsidRDefault="00BC7D0B" w:rsidP="00BC7D0B">
      <w:pPr>
        <w:jc w:val="both"/>
      </w:pPr>
      <w:r>
        <w:t xml:space="preserve">Parental responsibility is defined as ‘all the rights, duties, powers, responsibilities and authority which, by law, a parent of a child has in relation to the child and their property’. </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BC7D0B">
        <w:t>ensuring accurate parental responsibility is accounted for when obtaining consent for medical procedures and releasing patient information.</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BC7D0B" w:rsidRDefault="00BC7D0B" w:rsidP="00BC7D0B">
      <w:pPr>
        <w:jc w:val="both"/>
      </w:pPr>
      <w:r>
        <w:t xml:space="preserve">Unlike mothers, fathers do not always have 'parental responsibility' for their children. </w:t>
      </w:r>
    </w:p>
    <w:p w:rsidR="00BC7D0B" w:rsidRDefault="00BC7D0B" w:rsidP="00BC7D0B">
      <w:pPr>
        <w:jc w:val="both"/>
      </w:pPr>
    </w:p>
    <w:p w:rsidR="00BC7D0B" w:rsidRDefault="00BC7D0B" w:rsidP="00BC7D0B">
      <w:pPr>
        <w:jc w:val="both"/>
      </w:pPr>
      <w:r>
        <w:t>The objective of this document is to clarify the situation, so Practice Staff have the correct information to hand, when it is required</w:t>
      </w:r>
    </w:p>
    <w:p w:rsidR="00BC7D0B" w:rsidRDefault="00BC7D0B" w:rsidP="00BC7D0B">
      <w:pPr>
        <w:pStyle w:val="Heading2"/>
        <w:jc w:val="both"/>
      </w:pPr>
      <w:r>
        <w:t>What is parental responsibility?</w:t>
      </w:r>
    </w:p>
    <w:p w:rsidR="00BC7D0B" w:rsidRDefault="00BC7D0B" w:rsidP="00BC7D0B">
      <w:pPr>
        <w:jc w:val="both"/>
      </w:pPr>
      <w:r>
        <w:t xml:space="preserve">Parental responsibility is defined as ‘all the rights, duties, powers, responsibilities and authority which, by law, a parent of a child has in relation to the child and their property’. </w:t>
      </w:r>
    </w:p>
    <w:p w:rsidR="00BC7D0B" w:rsidRDefault="00BC7D0B" w:rsidP="00BC7D0B">
      <w:pPr>
        <w:jc w:val="both"/>
      </w:pPr>
    </w:p>
    <w:p w:rsidR="00BC7D0B" w:rsidRDefault="00BC7D0B" w:rsidP="00BC7D0B">
      <w:pPr>
        <w:jc w:val="both"/>
      </w:pPr>
      <w:r>
        <w:t xml:space="preserve">That means, if you have parental responsibility, you are recognised in the eyes of the law as having all the legal powers to make appropriate decisions in relation to the upbringing of your child. </w:t>
      </w:r>
    </w:p>
    <w:p w:rsidR="00BC7D0B" w:rsidRDefault="00BC7D0B" w:rsidP="00BC7D0B">
      <w:pPr>
        <w:jc w:val="both"/>
      </w:pPr>
    </w:p>
    <w:p w:rsidR="00BC7D0B" w:rsidRDefault="00BC7D0B" w:rsidP="00BC7D0B">
      <w:pPr>
        <w:pStyle w:val="Heading3"/>
        <w:jc w:val="both"/>
      </w:pPr>
      <w:r>
        <w:t>The following list sets out the key roles of parental responsibility:</w:t>
      </w:r>
    </w:p>
    <w:p w:rsidR="00BC7D0B" w:rsidRDefault="00BC7D0B" w:rsidP="00BC7D0B">
      <w:pPr>
        <w:jc w:val="both"/>
      </w:pPr>
    </w:p>
    <w:p w:rsidR="00BC7D0B" w:rsidRDefault="00BC7D0B" w:rsidP="00BC7D0B">
      <w:pPr>
        <w:numPr>
          <w:ilvl w:val="0"/>
          <w:numId w:val="39"/>
        </w:numPr>
        <w:jc w:val="both"/>
      </w:pPr>
      <w:r>
        <w:t>Providing a home for the child</w:t>
      </w:r>
    </w:p>
    <w:p w:rsidR="00BC7D0B" w:rsidRDefault="00BC7D0B" w:rsidP="00BC7D0B">
      <w:pPr>
        <w:numPr>
          <w:ilvl w:val="0"/>
          <w:numId w:val="39"/>
        </w:numPr>
        <w:jc w:val="both"/>
      </w:pPr>
      <w:r>
        <w:t>Having contact with and living with the child</w:t>
      </w:r>
    </w:p>
    <w:p w:rsidR="00BC7D0B" w:rsidRDefault="00BC7D0B" w:rsidP="00BC7D0B">
      <w:pPr>
        <w:numPr>
          <w:ilvl w:val="0"/>
          <w:numId w:val="39"/>
        </w:numPr>
        <w:jc w:val="both"/>
      </w:pPr>
      <w:r>
        <w:lastRenderedPageBreak/>
        <w:t>Protecting and maintaining the child</w:t>
      </w:r>
    </w:p>
    <w:p w:rsidR="00BC7D0B" w:rsidRDefault="00BC7D0B" w:rsidP="00BC7D0B">
      <w:pPr>
        <w:numPr>
          <w:ilvl w:val="0"/>
          <w:numId w:val="39"/>
        </w:numPr>
        <w:jc w:val="both"/>
      </w:pPr>
      <w:r>
        <w:t>Disciplining the child</w:t>
      </w:r>
    </w:p>
    <w:p w:rsidR="00BC7D0B" w:rsidRDefault="00BC7D0B" w:rsidP="00BC7D0B">
      <w:pPr>
        <w:numPr>
          <w:ilvl w:val="0"/>
          <w:numId w:val="39"/>
        </w:numPr>
        <w:jc w:val="both"/>
      </w:pPr>
      <w:r>
        <w:t>Choosing and providing for the child's education</w:t>
      </w:r>
    </w:p>
    <w:p w:rsidR="00BC7D0B" w:rsidRDefault="00BC7D0B" w:rsidP="00BC7D0B">
      <w:pPr>
        <w:numPr>
          <w:ilvl w:val="0"/>
          <w:numId w:val="39"/>
        </w:numPr>
        <w:jc w:val="both"/>
      </w:pPr>
      <w:r>
        <w:t>Determining the religion of the child</w:t>
      </w:r>
    </w:p>
    <w:p w:rsidR="00BC7D0B" w:rsidRDefault="00BC7D0B" w:rsidP="00BC7D0B">
      <w:pPr>
        <w:numPr>
          <w:ilvl w:val="0"/>
          <w:numId w:val="39"/>
        </w:numPr>
        <w:jc w:val="both"/>
      </w:pPr>
      <w:r>
        <w:t>Agreeing to the child's medical treatment</w:t>
      </w:r>
    </w:p>
    <w:p w:rsidR="00BC7D0B" w:rsidRDefault="00BC7D0B" w:rsidP="00BC7D0B">
      <w:pPr>
        <w:numPr>
          <w:ilvl w:val="0"/>
          <w:numId w:val="39"/>
        </w:numPr>
        <w:jc w:val="both"/>
      </w:pPr>
      <w:r>
        <w:t>Naming the child and agreeing to any change of the child's name</w:t>
      </w:r>
    </w:p>
    <w:p w:rsidR="00BC7D0B" w:rsidRDefault="00BC7D0B" w:rsidP="00BC7D0B">
      <w:pPr>
        <w:numPr>
          <w:ilvl w:val="0"/>
          <w:numId w:val="39"/>
        </w:numPr>
        <w:jc w:val="both"/>
      </w:pPr>
      <w:r>
        <w:t xml:space="preserve">Accompanying the child outside the </w:t>
      </w:r>
      <w:smartTag w:uri="urn:schemas-microsoft-com:office:smarttags" w:element="country-region">
        <w:smartTag w:uri="urn:schemas-microsoft-com:office:smarttags" w:element="place">
          <w:r>
            <w:t>uk</w:t>
          </w:r>
        </w:smartTag>
      </w:smartTag>
      <w:r>
        <w:t xml:space="preserve"> and agreeing to the child's emigration, should the issue arise</w:t>
      </w:r>
    </w:p>
    <w:p w:rsidR="00BC7D0B" w:rsidRDefault="00BC7D0B" w:rsidP="00BC7D0B">
      <w:pPr>
        <w:numPr>
          <w:ilvl w:val="0"/>
          <w:numId w:val="39"/>
        </w:numPr>
        <w:jc w:val="both"/>
      </w:pPr>
      <w:r>
        <w:t>Being responsible for the child's property</w:t>
      </w:r>
    </w:p>
    <w:p w:rsidR="00BC7D0B" w:rsidRDefault="00BC7D0B" w:rsidP="00BC7D0B">
      <w:pPr>
        <w:numPr>
          <w:ilvl w:val="0"/>
          <w:numId w:val="39"/>
        </w:numPr>
        <w:jc w:val="both"/>
      </w:pPr>
      <w:r>
        <w:t>Appointing a guardian for the child, if necessary</w:t>
      </w:r>
    </w:p>
    <w:p w:rsidR="00BC7D0B" w:rsidRDefault="00BC7D0B" w:rsidP="00BC7D0B">
      <w:pPr>
        <w:numPr>
          <w:ilvl w:val="0"/>
          <w:numId w:val="39"/>
        </w:numPr>
        <w:jc w:val="both"/>
      </w:pPr>
      <w:r>
        <w:t>Allowing confidential information about the child to be disclosed</w:t>
      </w:r>
    </w:p>
    <w:p w:rsidR="00BC7D0B" w:rsidRDefault="00BC7D0B" w:rsidP="00BC7D0B">
      <w:pPr>
        <w:jc w:val="both"/>
      </w:pPr>
    </w:p>
    <w:p w:rsidR="00BC7D0B" w:rsidRDefault="00BC7D0B" w:rsidP="00BC7D0B">
      <w:pPr>
        <w:pStyle w:val="Heading2"/>
        <w:jc w:val="both"/>
      </w:pPr>
      <w:r>
        <w:t>Who has parental responsibility?</w:t>
      </w:r>
    </w:p>
    <w:p w:rsidR="00BC7D0B" w:rsidRDefault="00BC7D0B" w:rsidP="00BC7D0B">
      <w:pPr>
        <w:jc w:val="both"/>
      </w:pPr>
    </w:p>
    <w:p w:rsidR="00BC7D0B" w:rsidRDefault="00BC7D0B" w:rsidP="00BC7D0B">
      <w:pPr>
        <w:jc w:val="both"/>
      </w:pPr>
      <w:r>
        <w:t xml:space="preserve">A mother automatically has parental responsibility for her child from birth. However, the conditions for fathers gaining parental responsibility vary throughout the </w:t>
      </w:r>
      <w:smartTag w:uri="urn:schemas-microsoft-com:office:smarttags" w:element="country-region">
        <w:smartTag w:uri="urn:schemas-microsoft-com:office:smarttags" w:element="place">
          <w:r>
            <w:t>UK</w:t>
          </w:r>
        </w:smartTag>
      </w:smartTag>
      <w:r>
        <w:t>.</w:t>
      </w:r>
    </w:p>
    <w:p w:rsidR="00BC7D0B" w:rsidRDefault="00BC7D0B" w:rsidP="00BC7D0B">
      <w:pPr>
        <w:jc w:val="both"/>
      </w:pPr>
    </w:p>
    <w:p w:rsidR="00BC7D0B" w:rsidRDefault="00BC7D0B" w:rsidP="00BC7D0B">
      <w:pPr>
        <w:pStyle w:val="Heading2"/>
        <w:jc w:val="both"/>
      </w:pPr>
      <w:r>
        <w:t>For births registered in England and Wales</w:t>
      </w:r>
    </w:p>
    <w:p w:rsidR="00BC7D0B" w:rsidRDefault="00BC7D0B" w:rsidP="00BC7D0B">
      <w:pPr>
        <w:jc w:val="both"/>
      </w:pPr>
    </w:p>
    <w:p w:rsidR="00BC7D0B" w:rsidRDefault="00BC7D0B" w:rsidP="00BC7D0B">
      <w:pPr>
        <w:jc w:val="both"/>
      </w:pPr>
      <w:r>
        <w:t xml:space="preserve">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if the parents of a child are married to each other at the time of the birth, or if they have jointly adopted a child, then they both have parental responsibility. </w:t>
      </w:r>
    </w:p>
    <w:p w:rsidR="00BC7D0B" w:rsidRDefault="00BC7D0B" w:rsidP="00BC7D0B">
      <w:pPr>
        <w:jc w:val="both"/>
      </w:pPr>
    </w:p>
    <w:p w:rsidR="00BC7D0B" w:rsidRDefault="00BC7D0B" w:rsidP="00BC7D0B">
      <w:pPr>
        <w:jc w:val="both"/>
      </w:pPr>
      <w:r>
        <w:t>Parents do not lose parental responsibility if they divorce, and this applies to both the resident and the non-resident parent.</w:t>
      </w:r>
    </w:p>
    <w:p w:rsidR="00BC7D0B" w:rsidRDefault="00BC7D0B" w:rsidP="00BC7D0B">
      <w:pPr>
        <w:jc w:val="both"/>
      </w:pPr>
    </w:p>
    <w:p w:rsidR="00BC7D0B" w:rsidRDefault="00BC7D0B" w:rsidP="00BC7D0B">
      <w:pPr>
        <w:jc w:val="both"/>
      </w:pPr>
      <w:r>
        <w:t xml:space="preserve">This is not automatically the case for unmarried parents. </w:t>
      </w:r>
    </w:p>
    <w:p w:rsidR="00BC7D0B" w:rsidRDefault="00BC7D0B" w:rsidP="00BC7D0B">
      <w:pPr>
        <w:jc w:val="both"/>
      </w:pPr>
    </w:p>
    <w:p w:rsidR="00BC7D0B" w:rsidRDefault="00BC7D0B" w:rsidP="00BC7D0B">
      <w:pPr>
        <w:jc w:val="both"/>
      </w:pPr>
      <w:r>
        <w:t xml:space="preserve">According to current law, a mother always has parental responsibility for her child. </w:t>
      </w:r>
    </w:p>
    <w:p w:rsidR="00BC7D0B" w:rsidRDefault="00BC7D0B" w:rsidP="00BC7D0B">
      <w:pPr>
        <w:jc w:val="both"/>
      </w:pPr>
    </w:p>
    <w:p w:rsidR="00BC7D0B" w:rsidRDefault="00BC7D0B" w:rsidP="00BC7D0B">
      <w:pPr>
        <w:jc w:val="both"/>
      </w:pPr>
      <w:r>
        <w:t>A father, however, has this responsibility only if he is married to the mother when the child is born or has acquired legal responsibility for his child through one of these three routes:</w:t>
      </w:r>
    </w:p>
    <w:p w:rsidR="00BC7D0B" w:rsidRDefault="00BC7D0B" w:rsidP="00BC7D0B">
      <w:pPr>
        <w:jc w:val="both"/>
      </w:pPr>
    </w:p>
    <w:p w:rsidR="00BC7D0B" w:rsidRDefault="00BC7D0B" w:rsidP="00BC7D0B">
      <w:pPr>
        <w:numPr>
          <w:ilvl w:val="0"/>
          <w:numId w:val="39"/>
        </w:numPr>
        <w:jc w:val="both"/>
      </w:pPr>
      <w:r>
        <w:t>By jointly registering the birth of the child with the mother (from 1 December 2003)</w:t>
      </w:r>
    </w:p>
    <w:p w:rsidR="00BC7D0B" w:rsidRDefault="00BC7D0B" w:rsidP="00BC7D0B">
      <w:pPr>
        <w:numPr>
          <w:ilvl w:val="0"/>
          <w:numId w:val="39"/>
        </w:numPr>
        <w:jc w:val="both"/>
      </w:pPr>
      <w:r>
        <w:t>By a parental responsibility agreement with the mother</w:t>
      </w:r>
    </w:p>
    <w:p w:rsidR="00BC7D0B" w:rsidRDefault="00BC7D0B" w:rsidP="00BC7D0B">
      <w:pPr>
        <w:numPr>
          <w:ilvl w:val="0"/>
          <w:numId w:val="39"/>
        </w:numPr>
        <w:jc w:val="both"/>
      </w:pPr>
      <w:r>
        <w:t>By a parental responsibility order, made by a court</w:t>
      </w:r>
    </w:p>
    <w:p w:rsidR="00BC7D0B" w:rsidRDefault="00BC7D0B" w:rsidP="00BC7D0B">
      <w:pPr>
        <w:jc w:val="both"/>
      </w:pPr>
    </w:p>
    <w:p w:rsidR="00BC7D0B" w:rsidRDefault="00BC7D0B" w:rsidP="00BC7D0B">
      <w:pPr>
        <w:jc w:val="both"/>
      </w:pPr>
      <w:r>
        <w:t>Living with the mother, even for a long time, does not give a father parental responsibility and if the parents are not married, parental responsibility does not always pass to the natural father if the mother dies.</w:t>
      </w:r>
    </w:p>
    <w:p w:rsidR="00BC7D0B" w:rsidRDefault="00BC7D0B" w:rsidP="00BC7D0B">
      <w:pPr>
        <w:jc w:val="both"/>
      </w:pPr>
    </w:p>
    <w:p w:rsidR="00BC7D0B" w:rsidRDefault="00BC7D0B" w:rsidP="00BC7D0B">
      <w:pPr>
        <w:jc w:val="both"/>
      </w:pPr>
      <w:r>
        <w:t>All parents (including adoptive parents) have a legal duty to financially support their child, whether they have parental responsibility or not.</w:t>
      </w:r>
    </w:p>
    <w:p w:rsidR="00BC7D0B" w:rsidRDefault="00BC7D0B" w:rsidP="00BC7D0B">
      <w:pPr>
        <w:jc w:val="both"/>
      </w:pPr>
    </w:p>
    <w:p w:rsidR="00BC7D0B" w:rsidRDefault="00BC7D0B" w:rsidP="00BC7D0B">
      <w:pPr>
        <w:pStyle w:val="Heading2"/>
        <w:jc w:val="both"/>
      </w:pPr>
      <w:r>
        <w:lastRenderedPageBreak/>
        <w:t>For births registered outside the UK</w:t>
      </w:r>
    </w:p>
    <w:p w:rsidR="00BC7D0B" w:rsidRDefault="00BC7D0B" w:rsidP="00BC7D0B">
      <w:pPr>
        <w:jc w:val="both"/>
      </w:pPr>
    </w:p>
    <w:p w:rsidR="00BC7D0B" w:rsidRDefault="00BC7D0B" w:rsidP="00BC7D0B">
      <w:pPr>
        <w:jc w:val="both"/>
      </w:pPr>
      <w:r>
        <w:t xml:space="preserve">If a child is born overseas and then comes to live in the </w:t>
      </w:r>
      <w:smartTag w:uri="urn:schemas-microsoft-com:office:smarttags" w:element="country-region">
        <w:r>
          <w:t>UK</w:t>
        </w:r>
      </w:smartTag>
      <w:r>
        <w:t xml:space="preserve">, the parental responsibility rules apply for the </w:t>
      </w:r>
      <w:smartTag w:uri="urn:schemas-microsoft-com:office:smarttags" w:element="country-region">
        <w:smartTag w:uri="urn:schemas-microsoft-com:office:smarttags" w:element="place">
          <w:r>
            <w:t>UK</w:t>
          </w:r>
        </w:smartTag>
      </w:smartTag>
      <w:r>
        <w:t xml:space="preserve"> country in which they live.</w:t>
      </w:r>
    </w:p>
    <w:p w:rsidR="00BC7D0B" w:rsidRDefault="00BC7D0B" w:rsidP="00BC7D0B">
      <w:pPr>
        <w:jc w:val="both"/>
      </w:pPr>
    </w:p>
    <w:p w:rsidR="00BC7D0B" w:rsidRDefault="00BC7D0B" w:rsidP="00BC7D0B">
      <w:pPr>
        <w:jc w:val="both"/>
      </w:pPr>
    </w:p>
    <w:p w:rsidR="00BC7D0B" w:rsidRDefault="00BC7D0B" w:rsidP="00BC7D0B">
      <w:pPr>
        <w:pStyle w:val="Heading2"/>
        <w:jc w:val="both"/>
      </w:pPr>
      <w:r>
        <w:t>Applying to the courts for parental responsibility</w:t>
      </w:r>
    </w:p>
    <w:p w:rsidR="00BC7D0B" w:rsidRDefault="00BC7D0B" w:rsidP="00BC7D0B">
      <w:pPr>
        <w:jc w:val="both"/>
      </w:pPr>
    </w:p>
    <w:p w:rsidR="00BC7D0B" w:rsidRDefault="00BC7D0B" w:rsidP="00BC7D0B">
      <w:pPr>
        <w:jc w:val="both"/>
      </w:pPr>
      <w:r>
        <w:t>A father can apply to the court to gain parental responsibility. In considering an application from a father, the court will take the following into account:</w:t>
      </w:r>
    </w:p>
    <w:p w:rsidR="00BC7D0B" w:rsidRDefault="00BC7D0B" w:rsidP="00BC7D0B">
      <w:pPr>
        <w:jc w:val="both"/>
      </w:pPr>
    </w:p>
    <w:p w:rsidR="00BC7D0B" w:rsidRDefault="00BC7D0B" w:rsidP="00BC7D0B">
      <w:pPr>
        <w:numPr>
          <w:ilvl w:val="0"/>
          <w:numId w:val="39"/>
        </w:numPr>
        <w:jc w:val="both"/>
      </w:pPr>
      <w:r>
        <w:t>The degree of commitment shown by the father to his child</w:t>
      </w:r>
    </w:p>
    <w:p w:rsidR="00BC7D0B" w:rsidRDefault="00BC7D0B" w:rsidP="00BC7D0B">
      <w:pPr>
        <w:numPr>
          <w:ilvl w:val="0"/>
          <w:numId w:val="39"/>
        </w:numPr>
        <w:jc w:val="both"/>
      </w:pPr>
      <w:r>
        <w:t>The degree of attachment between father and child</w:t>
      </w:r>
    </w:p>
    <w:p w:rsidR="00BC7D0B" w:rsidRDefault="00BC7D0B" w:rsidP="00BC7D0B">
      <w:pPr>
        <w:numPr>
          <w:ilvl w:val="0"/>
          <w:numId w:val="39"/>
        </w:numPr>
        <w:jc w:val="both"/>
      </w:pPr>
      <w:r>
        <w:t>The father's reasons for applying for the order</w:t>
      </w:r>
    </w:p>
    <w:p w:rsidR="00BC7D0B" w:rsidRDefault="00BC7D0B" w:rsidP="00BC7D0B">
      <w:pPr>
        <w:jc w:val="both"/>
      </w:pPr>
    </w:p>
    <w:p w:rsidR="00BC7D0B" w:rsidRDefault="00BC7D0B" w:rsidP="00BC7D0B">
      <w:pPr>
        <w:jc w:val="both"/>
      </w:pPr>
      <w:r>
        <w:t>The court will then decide to accept or reject the application based on what it believes is in the child's best interest.</w:t>
      </w:r>
    </w:p>
    <w:p w:rsidR="00B2675C" w:rsidRPr="00C86403" w:rsidRDefault="00B2675C"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4548A" w:rsidRPr="004241EF" w:rsidRDefault="0044548A" w:rsidP="0044548A">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E937EA" w:rsidRPr="004241EF" w:rsidRDefault="00E937EA" w:rsidP="00E937EA">
      <w:pPr>
        <w:spacing w:after="160" w:line="259" w:lineRule="auto"/>
        <w:jc w:val="both"/>
        <w:rPr>
          <w:rFonts w:cstheme="minorHAnsi"/>
        </w:rPr>
      </w:pPr>
      <w:r>
        <w:rPr>
          <w:rFonts w:cstheme="minorHAnsi"/>
        </w:rPr>
        <w:t>None recorded.</w:t>
      </w:r>
    </w:p>
    <w:p w:rsidR="00E937EA" w:rsidRDefault="00E937EA" w:rsidP="003D544C">
      <w:pPr>
        <w:spacing w:after="160" w:line="259" w:lineRule="auto"/>
        <w:jc w:val="both"/>
        <w:rPr>
          <w:rFonts w:ascii="Frutiger Bold" w:hAnsi="Frutiger Bold"/>
          <w:sz w:val="28"/>
          <w:szCs w:val="28"/>
        </w:rPr>
      </w:pPr>
    </w:p>
    <w:p w:rsidR="003E2640" w:rsidRDefault="003E2640" w:rsidP="003D544C">
      <w:pPr>
        <w:spacing w:after="160" w:line="259" w:lineRule="auto"/>
        <w:jc w:val="both"/>
        <w:rPr>
          <w:rFonts w:ascii="Frutiger Bold" w:hAnsi="Frutiger Bold"/>
          <w:sz w:val="28"/>
          <w:szCs w:val="28"/>
        </w:rPr>
      </w:pPr>
    </w:p>
    <w:p w:rsidR="00B2675C" w:rsidRDefault="00B2675C" w:rsidP="00E361A4">
      <w:pPr>
        <w:rPr>
          <w:rFonts w:cstheme="minorHAnsi"/>
        </w:rPr>
        <w:sectPr w:rsidR="00B2675C"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BC7D0B">
          <w:rPr>
            <w:noProof/>
          </w:rPr>
          <w:t>1</w:t>
        </w:r>
        <w:r w:rsidR="00F34758">
          <w:rPr>
            <w:noProof/>
          </w:rPr>
          <w:fldChar w:fldCharType="end"/>
        </w:r>
        <w:r w:rsidR="00896566">
          <w:rPr>
            <w:noProof/>
          </w:rPr>
          <w:t xml:space="preserve"> of </w:t>
        </w:r>
        <w:r w:rsidR="00BC7D0B">
          <w:rPr>
            <w:noProof/>
          </w:rPr>
          <w:t>4</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BC7D0B" w:rsidP="000765C0">
    <w:pPr>
      <w:pStyle w:val="Header"/>
      <w:jc w:val="right"/>
    </w:pPr>
    <w:r>
      <w:t>Parental Rights &amp; Responsibilities</w:t>
    </w:r>
    <w:r w:rsidR="006062D5">
      <w:t xml:space="preserve"> Policy</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D884F09"/>
    <w:multiLevelType w:val="hybridMultilevel"/>
    <w:tmpl w:val="BA921BA4"/>
    <w:lvl w:ilvl="0" w:tplc="D7D2367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41EDD"/>
    <w:multiLevelType w:val="multilevel"/>
    <w:tmpl w:val="6504D4A0"/>
    <w:numStyleLink w:val="Bullet02"/>
  </w:abstractNum>
  <w:abstractNum w:abstractNumId="8"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63476"/>
    <w:multiLevelType w:val="multilevel"/>
    <w:tmpl w:val="770EB722"/>
    <w:numStyleLink w:val="Bullet01"/>
  </w:abstractNum>
  <w:abstractNum w:abstractNumId="10" w15:restartNumberingAfterBreak="0">
    <w:nsid w:val="21FA1BE8"/>
    <w:multiLevelType w:val="multilevel"/>
    <w:tmpl w:val="770EB722"/>
    <w:numStyleLink w:val="Bullet01"/>
  </w:abstractNum>
  <w:abstractNum w:abstractNumId="11"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E3F"/>
    <w:multiLevelType w:val="multilevel"/>
    <w:tmpl w:val="770EB722"/>
    <w:numStyleLink w:val="Bullet01"/>
  </w:abstractNum>
  <w:abstractNum w:abstractNumId="14" w15:restartNumberingAfterBreak="0">
    <w:nsid w:val="2EF9350E"/>
    <w:multiLevelType w:val="multilevel"/>
    <w:tmpl w:val="770EB722"/>
    <w:numStyleLink w:val="Bullet01"/>
  </w:abstractNum>
  <w:abstractNum w:abstractNumId="15"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539AB"/>
    <w:multiLevelType w:val="multilevel"/>
    <w:tmpl w:val="770EB722"/>
    <w:numStyleLink w:val="Bullet01"/>
  </w:abstractNum>
  <w:abstractNum w:abstractNumId="17" w15:restartNumberingAfterBreak="0">
    <w:nsid w:val="310966C6"/>
    <w:multiLevelType w:val="multilevel"/>
    <w:tmpl w:val="770EB722"/>
    <w:numStyleLink w:val="Bullet01"/>
  </w:abstractNum>
  <w:abstractNum w:abstractNumId="18"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46C2"/>
    <w:multiLevelType w:val="multilevel"/>
    <w:tmpl w:val="770EB722"/>
    <w:numStyleLink w:val="Bullet01"/>
  </w:abstractNum>
  <w:abstractNum w:abstractNumId="20" w15:restartNumberingAfterBreak="0">
    <w:nsid w:val="39A9540F"/>
    <w:multiLevelType w:val="multilevel"/>
    <w:tmpl w:val="770EB722"/>
    <w:numStyleLink w:val="Bullet01"/>
  </w:abstractNum>
  <w:abstractNum w:abstractNumId="21" w15:restartNumberingAfterBreak="0">
    <w:nsid w:val="3D686F75"/>
    <w:multiLevelType w:val="multilevel"/>
    <w:tmpl w:val="770EB722"/>
    <w:numStyleLink w:val="Bullet01"/>
  </w:abstractNum>
  <w:abstractNum w:abstractNumId="22"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9B1D1D"/>
    <w:multiLevelType w:val="multilevel"/>
    <w:tmpl w:val="770EB722"/>
    <w:numStyleLink w:val="Bullet01"/>
  </w:abstractNum>
  <w:abstractNum w:abstractNumId="24" w15:restartNumberingAfterBreak="0">
    <w:nsid w:val="41AA4B18"/>
    <w:multiLevelType w:val="multilevel"/>
    <w:tmpl w:val="770EB722"/>
    <w:numStyleLink w:val="Bullet01"/>
  </w:abstractNum>
  <w:abstractNum w:abstractNumId="25"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707A5"/>
    <w:multiLevelType w:val="multilevel"/>
    <w:tmpl w:val="770EB722"/>
    <w:numStyleLink w:val="Bullet01"/>
  </w:abstractNum>
  <w:abstractNum w:abstractNumId="28" w15:restartNumberingAfterBreak="0">
    <w:nsid w:val="53B16208"/>
    <w:multiLevelType w:val="multilevel"/>
    <w:tmpl w:val="770EB722"/>
    <w:numStyleLink w:val="Bullet01"/>
  </w:abstractNum>
  <w:abstractNum w:abstractNumId="29" w15:restartNumberingAfterBreak="0">
    <w:nsid w:val="579D71D8"/>
    <w:multiLevelType w:val="multilevel"/>
    <w:tmpl w:val="770EB722"/>
    <w:numStyleLink w:val="Bullet01"/>
  </w:abstractNum>
  <w:abstractNum w:abstractNumId="30" w15:restartNumberingAfterBreak="0">
    <w:nsid w:val="58FC08B7"/>
    <w:multiLevelType w:val="multilevel"/>
    <w:tmpl w:val="770EB722"/>
    <w:numStyleLink w:val="Bullet01"/>
  </w:abstractNum>
  <w:abstractNum w:abstractNumId="31"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13F8D"/>
    <w:multiLevelType w:val="multilevel"/>
    <w:tmpl w:val="770EB722"/>
    <w:numStyleLink w:val="Bullet01"/>
  </w:abstractNum>
  <w:abstractNum w:abstractNumId="33" w15:restartNumberingAfterBreak="0">
    <w:nsid w:val="65B05880"/>
    <w:multiLevelType w:val="multilevel"/>
    <w:tmpl w:val="770EB722"/>
    <w:numStyleLink w:val="Bullet01"/>
  </w:abstractNum>
  <w:abstractNum w:abstractNumId="34" w15:restartNumberingAfterBreak="0">
    <w:nsid w:val="676A26F3"/>
    <w:multiLevelType w:val="multilevel"/>
    <w:tmpl w:val="770EB722"/>
    <w:numStyleLink w:val="Bullet01"/>
  </w:abstractNum>
  <w:abstractNum w:abstractNumId="35" w15:restartNumberingAfterBreak="0">
    <w:nsid w:val="68B070BF"/>
    <w:multiLevelType w:val="multilevel"/>
    <w:tmpl w:val="770EB722"/>
    <w:numStyleLink w:val="Bullet01"/>
  </w:abstractNum>
  <w:abstractNum w:abstractNumId="36"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105CB1"/>
    <w:multiLevelType w:val="multilevel"/>
    <w:tmpl w:val="770EB722"/>
    <w:numStyleLink w:val="Bullet01"/>
  </w:abstractNum>
  <w:num w:numId="1">
    <w:abstractNumId w:val="2"/>
  </w:num>
  <w:num w:numId="2">
    <w:abstractNumId w:val="26"/>
  </w:num>
  <w:num w:numId="3">
    <w:abstractNumId w:val="8"/>
  </w:num>
  <w:num w:numId="4">
    <w:abstractNumId w:val="6"/>
  </w:num>
  <w:num w:numId="5">
    <w:abstractNumId w:val="25"/>
  </w:num>
  <w:num w:numId="6">
    <w:abstractNumId w:val="18"/>
  </w:num>
  <w:num w:numId="7">
    <w:abstractNumId w:val="32"/>
  </w:num>
  <w:num w:numId="8">
    <w:abstractNumId w:val="27"/>
  </w:num>
  <w:num w:numId="9">
    <w:abstractNumId w:val="24"/>
  </w:num>
  <w:num w:numId="10">
    <w:abstractNumId w:val="29"/>
  </w:num>
  <w:num w:numId="11">
    <w:abstractNumId w:val="19"/>
  </w:num>
  <w:num w:numId="12">
    <w:abstractNumId w:val="17"/>
  </w:num>
  <w:num w:numId="13">
    <w:abstractNumId w:val="34"/>
  </w:num>
  <w:num w:numId="14">
    <w:abstractNumId w:val="14"/>
  </w:num>
  <w:num w:numId="15">
    <w:abstractNumId w:val="10"/>
  </w:num>
  <w:num w:numId="16">
    <w:abstractNumId w:val="20"/>
  </w:num>
  <w:num w:numId="17">
    <w:abstractNumId w:val="16"/>
  </w:num>
  <w:num w:numId="18">
    <w:abstractNumId w:val="30"/>
  </w:num>
  <w:num w:numId="19">
    <w:abstractNumId w:val="4"/>
  </w:num>
  <w:num w:numId="20">
    <w:abstractNumId w:val="7"/>
  </w:num>
  <w:num w:numId="21">
    <w:abstractNumId w:val="35"/>
  </w:num>
  <w:num w:numId="22">
    <w:abstractNumId w:val="13"/>
  </w:num>
  <w:num w:numId="23">
    <w:abstractNumId w:val="0"/>
  </w:num>
  <w:num w:numId="24">
    <w:abstractNumId w:val="38"/>
  </w:num>
  <w:num w:numId="25">
    <w:abstractNumId w:val="23"/>
  </w:num>
  <w:num w:numId="26">
    <w:abstractNumId w:val="9"/>
  </w:num>
  <w:num w:numId="27">
    <w:abstractNumId w:val="28"/>
  </w:num>
  <w:num w:numId="28">
    <w:abstractNumId w:val="21"/>
  </w:num>
  <w:num w:numId="29">
    <w:abstractNumId w:val="33"/>
  </w:num>
  <w:num w:numId="30">
    <w:abstractNumId w:val="1"/>
  </w:num>
  <w:num w:numId="31">
    <w:abstractNumId w:val="36"/>
  </w:num>
  <w:num w:numId="32">
    <w:abstractNumId w:val="11"/>
  </w:num>
  <w:num w:numId="33">
    <w:abstractNumId w:val="37"/>
  </w:num>
  <w:num w:numId="34">
    <w:abstractNumId w:val="22"/>
  </w:num>
  <w:num w:numId="35">
    <w:abstractNumId w:val="12"/>
  </w:num>
  <w:num w:numId="36">
    <w:abstractNumId w:val="3"/>
  </w:num>
  <w:num w:numId="37">
    <w:abstractNumId w:val="15"/>
  </w:num>
  <w:num w:numId="38">
    <w:abstractNumId w:val="31"/>
  </w:num>
  <w:num w:numId="3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8360F"/>
    <w:rsid w:val="00094FE5"/>
    <w:rsid w:val="000A51A2"/>
    <w:rsid w:val="000D2AC7"/>
    <w:rsid w:val="00191B7B"/>
    <w:rsid w:val="001B3E14"/>
    <w:rsid w:val="001D67D0"/>
    <w:rsid w:val="001E3ACC"/>
    <w:rsid w:val="001F052E"/>
    <w:rsid w:val="002563CF"/>
    <w:rsid w:val="00286C8F"/>
    <w:rsid w:val="002B1E92"/>
    <w:rsid w:val="002D3C02"/>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C7D0B"/>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938B0"/>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14:docId w14:val="5999F1E9"/>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73255-77A6-4178-A15E-E2A64BF5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subject>Version 2.0</dc:subject>
  <dc:creator>Turner Martin (Mr)</dc:creator>
  <cp:lastModifiedBy>Turner Martin</cp:lastModifiedBy>
  <cp:revision>2</cp:revision>
  <cp:lastPrinted>2020-05-14T15:30:00Z</cp:lastPrinted>
  <dcterms:created xsi:type="dcterms:W3CDTF">2020-09-30T09:45:00Z</dcterms:created>
  <dcterms:modified xsi:type="dcterms:W3CDTF">2020-09-30T09:45:00Z</dcterms:modified>
</cp:coreProperties>
</file>