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2D5" w:rsidRDefault="00093AB5" w:rsidP="00C042D5">
      <w:pPr>
        <w:rPr>
          <w:rFonts w:ascii="Frutiger Bold" w:hAnsi="Frutiger Bold" w:cstheme="minorHAnsi"/>
          <w:color w:val="4472C4" w:themeColor="accent1"/>
          <w:sz w:val="36"/>
          <w:szCs w:val="36"/>
        </w:rPr>
      </w:pPr>
      <w:r>
        <w:rPr>
          <w:rFonts w:ascii="Frutiger Bold" w:hAnsi="Frutiger Bold" w:cstheme="minorHAnsi"/>
          <w:color w:val="4472C4" w:themeColor="accent1"/>
          <w:sz w:val="36"/>
          <w:szCs w:val="36"/>
        </w:rPr>
        <w:t>Privacy Notice 4: National Screening Programmes</w:t>
      </w:r>
    </w:p>
    <w:p w:rsidR="00093AB5" w:rsidRPr="00093AB5" w:rsidRDefault="00093AB5" w:rsidP="00C042D5">
      <w:pPr>
        <w:rPr>
          <w:rFonts w:ascii="Frutiger Bold" w:hAnsi="Frutiger Bold" w:cstheme="minorHAnsi"/>
          <w:sz w:val="28"/>
          <w:szCs w:val="28"/>
        </w:rPr>
      </w:pPr>
      <w:proofErr w:type="gramStart"/>
      <w:r>
        <w:rPr>
          <w:rFonts w:ascii="Frutiger Bold" w:hAnsi="Frutiger Bold" w:cstheme="minorHAnsi"/>
          <w:sz w:val="28"/>
          <w:szCs w:val="28"/>
        </w:rPr>
        <w:t>October,</w:t>
      </w:r>
      <w:proofErr w:type="gramEnd"/>
      <w:r>
        <w:rPr>
          <w:rFonts w:ascii="Frutiger Bold" w:hAnsi="Frutiger Bold" w:cstheme="minorHAnsi"/>
          <w:sz w:val="28"/>
          <w:szCs w:val="28"/>
        </w:rPr>
        <w:t xml:space="preserve"> 2020</w:t>
      </w:r>
    </w:p>
    <w:p w:rsidR="00C042D5" w:rsidRPr="009F1626" w:rsidRDefault="00C042D5" w:rsidP="00093AB5">
      <w:pPr>
        <w:pStyle w:val="NormalWeb"/>
        <w:spacing w:before="0" w:beforeAutospacing="0" w:after="0" w:afterAutospacing="0"/>
        <w:jc w:val="both"/>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Tr="004F7429">
        <w:trPr>
          <w:trHeight w:val="4586"/>
        </w:trPr>
        <w:tc>
          <w:tcPr>
            <w:tcW w:w="9000" w:type="dxa"/>
          </w:tcPr>
          <w:p w:rsidR="00C042D5" w:rsidRPr="00A560D6" w:rsidRDefault="00C042D5" w:rsidP="00093AB5">
            <w:pPr>
              <w:pStyle w:val="NormalWeb"/>
              <w:spacing w:before="0" w:beforeAutospacing="0" w:after="0" w:afterAutospacing="0"/>
              <w:ind w:left="135"/>
              <w:jc w:val="both"/>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C042D5" w:rsidRPr="009F1626" w:rsidRDefault="00C042D5" w:rsidP="00093AB5">
            <w:pPr>
              <w:pStyle w:val="NormalWeb"/>
              <w:spacing w:before="0" w:beforeAutospacing="0" w:after="0" w:afterAutospacing="0"/>
              <w:ind w:left="135"/>
              <w:jc w:val="both"/>
              <w:rPr>
                <w:rFonts w:asciiTheme="minorHAnsi" w:hAnsiTheme="minorHAnsi" w:cstheme="minorHAnsi"/>
                <w:u w:val="single"/>
              </w:rPr>
            </w:pPr>
          </w:p>
          <w:p w:rsidR="00C042D5" w:rsidRDefault="00C042D5" w:rsidP="00093AB5">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rsidR="00C042D5" w:rsidRDefault="00C042D5" w:rsidP="00093AB5">
            <w:pPr>
              <w:pStyle w:val="NormalWeb"/>
              <w:spacing w:before="0" w:beforeAutospacing="0" w:after="0" w:afterAutospacing="0"/>
              <w:ind w:left="855"/>
              <w:jc w:val="both"/>
              <w:rPr>
                <w:rFonts w:asciiTheme="minorHAnsi" w:hAnsiTheme="minorHAnsi" w:cstheme="minorHAnsi"/>
              </w:rPr>
            </w:pPr>
          </w:p>
          <w:p w:rsidR="00C042D5" w:rsidRDefault="00C042D5" w:rsidP="00093AB5">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C042D5" w:rsidRDefault="00C042D5" w:rsidP="00093AB5">
            <w:pPr>
              <w:pStyle w:val="NormalWeb"/>
              <w:spacing w:before="0" w:beforeAutospacing="0" w:after="0" w:afterAutospacing="0"/>
              <w:ind w:left="135"/>
              <w:jc w:val="both"/>
              <w:rPr>
                <w:rFonts w:asciiTheme="minorHAnsi" w:hAnsiTheme="minorHAnsi" w:cstheme="minorHAnsi"/>
              </w:rPr>
            </w:pPr>
          </w:p>
          <w:p w:rsidR="00C042D5" w:rsidRDefault="00C042D5" w:rsidP="00093AB5">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rsidR="00C042D5" w:rsidRDefault="00C042D5" w:rsidP="00093AB5">
            <w:pPr>
              <w:pStyle w:val="ListParagraph"/>
              <w:jc w:val="both"/>
              <w:rPr>
                <w:rFonts w:cstheme="minorHAnsi"/>
              </w:rPr>
            </w:pPr>
          </w:p>
          <w:p w:rsidR="00C042D5" w:rsidRPr="00661BBC" w:rsidRDefault="00C042D5" w:rsidP="00093AB5">
            <w:pPr>
              <w:pStyle w:val="NormalWeb"/>
              <w:numPr>
                <w:ilvl w:val="0"/>
                <w:numId w:val="1"/>
              </w:numPr>
              <w:spacing w:before="0" w:beforeAutospacing="0" w:after="0" w:afterAutospacing="0"/>
              <w:ind w:left="855"/>
              <w:jc w:val="both"/>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rsidR="00C042D5" w:rsidRDefault="00C042D5" w:rsidP="00093AB5">
      <w:pPr>
        <w:jc w:val="both"/>
      </w:pPr>
    </w:p>
    <w:p w:rsidR="00C042D5" w:rsidRPr="00075703" w:rsidRDefault="00C042D5" w:rsidP="00093AB5">
      <w:pPr>
        <w:jc w:val="both"/>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rsidTr="004F7429">
        <w:tc>
          <w:tcPr>
            <w:tcW w:w="2405" w:type="dxa"/>
          </w:tcPr>
          <w:p w:rsidR="00C042D5" w:rsidRPr="006E5EB2" w:rsidRDefault="00C042D5" w:rsidP="00093AB5">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C042D5" w:rsidRPr="006E5EB2" w:rsidRDefault="00C042D5" w:rsidP="00093AB5">
            <w:pPr>
              <w:jc w:val="both"/>
              <w:rPr>
                <w:rFonts w:cstheme="minorHAnsi"/>
                <w:b/>
                <w:color w:val="000000"/>
                <w:lang w:eastAsia="en-GB"/>
              </w:rPr>
            </w:pPr>
          </w:p>
        </w:tc>
        <w:tc>
          <w:tcPr>
            <w:tcW w:w="6611" w:type="dxa"/>
          </w:tcPr>
          <w:p w:rsidR="00C042D5" w:rsidRPr="00B15C7C" w:rsidRDefault="00B15C7C" w:rsidP="00093AB5">
            <w:pPr>
              <w:jc w:val="both"/>
              <w:rPr>
                <w:rFonts w:cstheme="minorHAnsi"/>
                <w:lang w:eastAsia="en-GB"/>
              </w:rPr>
            </w:pPr>
            <w:r w:rsidRPr="00B15C7C">
              <w:rPr>
                <w:rFonts w:cstheme="minorHAnsi"/>
                <w:lang w:eastAsia="en-GB"/>
              </w:rPr>
              <w:t>Staveleigh Medical Centre  King Street  Stalybridge  Cheshire</w:t>
            </w:r>
          </w:p>
          <w:p w:rsidR="00C042D5" w:rsidRPr="006E5EB2" w:rsidRDefault="00C042D5" w:rsidP="00093AB5">
            <w:pPr>
              <w:jc w:val="both"/>
              <w:rPr>
                <w:rFonts w:cstheme="minorHAnsi"/>
              </w:rPr>
            </w:pPr>
          </w:p>
        </w:tc>
      </w:tr>
      <w:tr w:rsidR="00C042D5" w:rsidRPr="006E5EB2" w:rsidTr="004F7429">
        <w:tc>
          <w:tcPr>
            <w:tcW w:w="2405" w:type="dxa"/>
          </w:tcPr>
          <w:p w:rsidR="00C042D5" w:rsidRPr="006E5EB2" w:rsidRDefault="00C042D5" w:rsidP="00093AB5">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C042D5" w:rsidRPr="006E5EB2" w:rsidRDefault="00C042D5" w:rsidP="00093AB5">
            <w:pPr>
              <w:jc w:val="both"/>
              <w:rPr>
                <w:rFonts w:cstheme="minorHAnsi"/>
              </w:rPr>
            </w:pPr>
          </w:p>
        </w:tc>
        <w:tc>
          <w:tcPr>
            <w:tcW w:w="6611" w:type="dxa"/>
          </w:tcPr>
          <w:p w:rsidR="00C042D5" w:rsidRPr="006E5EB2" w:rsidRDefault="00B15C7C" w:rsidP="00093AB5">
            <w:pPr>
              <w:jc w:val="both"/>
              <w:rPr>
                <w:rFonts w:cstheme="minorHAnsi"/>
              </w:rPr>
            </w:pPr>
            <w:r w:rsidRPr="00B15C7C">
              <w:rPr>
                <w:rFonts w:cstheme="minorHAnsi"/>
                <w:lang w:eastAsia="en-GB"/>
              </w:rPr>
              <w:t>Dr Richard Fitton</w:t>
            </w:r>
          </w:p>
        </w:tc>
      </w:tr>
      <w:tr w:rsidR="00C042D5" w:rsidRPr="006E5EB2" w:rsidTr="004F7429">
        <w:trPr>
          <w:trHeight w:val="521"/>
        </w:trPr>
        <w:tc>
          <w:tcPr>
            <w:tcW w:w="2405" w:type="dxa"/>
          </w:tcPr>
          <w:p w:rsidR="00C042D5" w:rsidRPr="006E5EB2" w:rsidRDefault="00C042D5" w:rsidP="00093AB5">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C042D5" w:rsidRPr="006E5EB2" w:rsidRDefault="00C042D5" w:rsidP="00093AB5">
            <w:pPr>
              <w:jc w:val="both"/>
              <w:rPr>
                <w:rFonts w:cstheme="minorHAnsi"/>
              </w:rPr>
            </w:pPr>
          </w:p>
        </w:tc>
        <w:tc>
          <w:tcPr>
            <w:tcW w:w="6611" w:type="dxa"/>
          </w:tcPr>
          <w:p w:rsidR="00C042D5" w:rsidRPr="00093C39" w:rsidRDefault="00C042D5" w:rsidP="00093AB5">
            <w:pPr>
              <w:pStyle w:val="ListParagraph"/>
              <w:numPr>
                <w:ilvl w:val="0"/>
                <w:numId w:val="3"/>
              </w:numPr>
              <w:jc w:val="both"/>
              <w:rPr>
                <w:rFonts w:cstheme="minorHAnsi"/>
                <w:color w:val="000000"/>
                <w:lang w:eastAsia="en-GB"/>
              </w:rPr>
            </w:pPr>
            <w:r w:rsidRPr="00093C39">
              <w:rPr>
                <w:rFonts w:cstheme="minorHAnsi"/>
                <w:color w:val="000000"/>
                <w:lang w:eastAsia="en-GB"/>
              </w:rPr>
              <w:t xml:space="preserve">The NHS provides several national health screening programmes to detect diseases or conditions early such as cervical and breast cancer, aortic </w:t>
            </w:r>
            <w:proofErr w:type="gramStart"/>
            <w:r w:rsidRPr="00093C39">
              <w:rPr>
                <w:rFonts w:cstheme="minorHAnsi"/>
                <w:color w:val="000000"/>
                <w:lang w:eastAsia="en-GB"/>
              </w:rPr>
              <w:t>aneurysm</w:t>
            </w:r>
            <w:proofErr w:type="gramEnd"/>
            <w:r w:rsidRPr="00093C39">
              <w:rPr>
                <w:rFonts w:cstheme="minorHAnsi"/>
                <w:color w:val="000000"/>
                <w:lang w:eastAsia="en-GB"/>
              </w:rPr>
              <w:t xml:space="preserve"> and diabetes.</w:t>
            </w:r>
          </w:p>
          <w:p w:rsidR="00C042D5" w:rsidRDefault="00C042D5" w:rsidP="00093AB5">
            <w:pPr>
              <w:ind w:firstLine="45"/>
              <w:jc w:val="both"/>
              <w:rPr>
                <w:rFonts w:cstheme="minorHAnsi"/>
                <w:color w:val="000000"/>
                <w:lang w:eastAsia="en-GB"/>
              </w:rPr>
            </w:pPr>
          </w:p>
          <w:p w:rsidR="00C042D5" w:rsidRPr="00093C39" w:rsidRDefault="00C042D5" w:rsidP="00093AB5">
            <w:pPr>
              <w:pStyle w:val="ListParagraph"/>
              <w:numPr>
                <w:ilvl w:val="0"/>
                <w:numId w:val="3"/>
              </w:numPr>
              <w:jc w:val="both"/>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rsidR="00C042D5" w:rsidRPr="00093C39" w:rsidRDefault="00C042D5" w:rsidP="00093AB5">
            <w:pPr>
              <w:jc w:val="both"/>
              <w:rPr>
                <w:rFonts w:cstheme="minorHAnsi"/>
              </w:rPr>
            </w:pPr>
          </w:p>
        </w:tc>
      </w:tr>
      <w:tr w:rsidR="00C042D5" w:rsidRPr="006E5EB2" w:rsidTr="004F7429">
        <w:trPr>
          <w:trHeight w:val="1980"/>
        </w:trPr>
        <w:tc>
          <w:tcPr>
            <w:tcW w:w="2405" w:type="dxa"/>
          </w:tcPr>
          <w:p w:rsidR="00C042D5" w:rsidRPr="006E5EB2" w:rsidRDefault="00C042D5" w:rsidP="00093AB5">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C042D5" w:rsidRPr="006E5EB2" w:rsidRDefault="00C042D5" w:rsidP="00093AB5">
            <w:pPr>
              <w:jc w:val="both"/>
              <w:rPr>
                <w:rFonts w:cstheme="minorHAnsi"/>
              </w:rPr>
            </w:pPr>
          </w:p>
        </w:tc>
        <w:tc>
          <w:tcPr>
            <w:tcW w:w="6611" w:type="dxa"/>
          </w:tcPr>
          <w:p w:rsidR="00C042D5" w:rsidRDefault="00C042D5" w:rsidP="00093AB5">
            <w:pPr>
              <w:jc w:val="both"/>
              <w:rPr>
                <w:rFonts w:cstheme="minorHAnsi"/>
              </w:rPr>
            </w:pPr>
            <w:r>
              <w:rPr>
                <w:rFonts w:cstheme="minorHAnsi"/>
              </w:rPr>
              <w:t>The following sections of the GDPR allow us to contact patients for screening.</w:t>
            </w:r>
          </w:p>
          <w:p w:rsidR="00C042D5" w:rsidRDefault="00C042D5" w:rsidP="00093AB5">
            <w:pPr>
              <w:jc w:val="both"/>
              <w:rPr>
                <w:rFonts w:cstheme="minorHAnsi"/>
              </w:rPr>
            </w:pPr>
          </w:p>
          <w:p w:rsidR="00C042D5" w:rsidRDefault="00C042D5" w:rsidP="00093AB5">
            <w:pPr>
              <w:jc w:val="both"/>
              <w:rPr>
                <w:rFonts w:cstheme="minorHAnsi"/>
              </w:rPr>
            </w:pPr>
            <w:r>
              <w:rPr>
                <w:rFonts w:cstheme="minorHAnsi"/>
              </w:rPr>
              <w:t>Article 6(1)(e) – ‘processing is necessary…in the exercise of official authority vested in the controller...’’</w:t>
            </w:r>
          </w:p>
          <w:p w:rsidR="00C042D5" w:rsidRDefault="00C042D5" w:rsidP="00093AB5">
            <w:pPr>
              <w:jc w:val="both"/>
              <w:rPr>
                <w:rFonts w:cstheme="minorHAnsi"/>
              </w:rPr>
            </w:pPr>
          </w:p>
          <w:p w:rsidR="00C042D5" w:rsidRPr="006E5EB2" w:rsidRDefault="00C042D5" w:rsidP="00093AB5">
            <w:pPr>
              <w:jc w:val="both"/>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rsidTr="004F7429">
        <w:trPr>
          <w:trHeight w:val="1009"/>
        </w:trPr>
        <w:tc>
          <w:tcPr>
            <w:tcW w:w="2405" w:type="dxa"/>
          </w:tcPr>
          <w:p w:rsidR="00C042D5" w:rsidRPr="006E5EB2" w:rsidRDefault="00C042D5" w:rsidP="00093AB5">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C042D5" w:rsidRPr="006E5EB2" w:rsidRDefault="00C042D5" w:rsidP="00093AB5">
            <w:pPr>
              <w:jc w:val="both"/>
              <w:rPr>
                <w:rFonts w:cstheme="minorHAnsi"/>
              </w:rPr>
            </w:pPr>
          </w:p>
        </w:tc>
        <w:tc>
          <w:tcPr>
            <w:tcW w:w="6611" w:type="dxa"/>
          </w:tcPr>
          <w:p w:rsidR="00B15C7C" w:rsidRDefault="00C042D5" w:rsidP="00093AB5">
            <w:pPr>
              <w:jc w:val="both"/>
              <w:rPr>
                <w:rFonts w:cstheme="minorHAnsi"/>
                <w:color w:val="000000"/>
                <w:lang w:eastAsia="en-GB"/>
              </w:rPr>
            </w:pPr>
            <w:r w:rsidRPr="006E5EB2">
              <w:rPr>
                <w:rFonts w:cstheme="minorHAnsi"/>
                <w:color w:val="000000"/>
                <w:lang w:eastAsia="en-GB"/>
              </w:rPr>
              <w:t xml:space="preserve">The data will be shared </w:t>
            </w:r>
            <w:r w:rsidR="00B15C7C">
              <w:rPr>
                <w:rFonts w:cstheme="minorHAnsi"/>
                <w:color w:val="000000"/>
                <w:lang w:eastAsia="en-GB"/>
              </w:rPr>
              <w:t xml:space="preserve"> with Public Health England please click link for further information on screening programmes</w:t>
            </w:r>
          </w:p>
          <w:p w:rsidR="00B15C7C" w:rsidRDefault="00B15C7C" w:rsidP="00093AB5">
            <w:pPr>
              <w:jc w:val="both"/>
              <w:rPr>
                <w:rFonts w:cstheme="minorHAnsi"/>
                <w:color w:val="000000"/>
                <w:lang w:eastAsia="en-GB"/>
              </w:rPr>
            </w:pPr>
          </w:p>
          <w:p w:rsidR="00C042D5" w:rsidRDefault="00A70326" w:rsidP="00093AB5">
            <w:pPr>
              <w:jc w:val="both"/>
              <w:rPr>
                <w:rFonts w:cstheme="minorHAnsi"/>
                <w:color w:val="000000"/>
                <w:lang w:eastAsia="en-GB"/>
              </w:rPr>
            </w:pPr>
            <w:hyperlink r:id="rId11" w:history="1">
              <w:r w:rsidR="00B15C7C" w:rsidRPr="00F23978">
                <w:rPr>
                  <w:rStyle w:val="Hyperlink"/>
                  <w:rFonts w:cstheme="minorHAnsi"/>
                  <w:lang w:eastAsia="en-GB"/>
                </w:rPr>
                <w:t>https://www.gov.uk/topic/population-screening-programmes</w:t>
              </w:r>
            </w:hyperlink>
          </w:p>
          <w:p w:rsidR="00B15C7C" w:rsidRPr="00C3638E" w:rsidRDefault="00B15C7C" w:rsidP="00093AB5">
            <w:pPr>
              <w:jc w:val="both"/>
              <w:rPr>
                <w:rFonts w:cstheme="minorHAnsi"/>
              </w:rPr>
            </w:pPr>
          </w:p>
        </w:tc>
      </w:tr>
      <w:tr w:rsidR="00C042D5" w:rsidRPr="006E5EB2" w:rsidTr="004F7429">
        <w:trPr>
          <w:trHeight w:val="1844"/>
        </w:trPr>
        <w:tc>
          <w:tcPr>
            <w:tcW w:w="2405" w:type="dxa"/>
          </w:tcPr>
          <w:p w:rsidR="00C042D5" w:rsidRPr="006E5EB2" w:rsidRDefault="00C042D5" w:rsidP="00093AB5">
            <w:pPr>
              <w:jc w:val="both"/>
              <w:rPr>
                <w:rFonts w:cstheme="minorHAnsi"/>
              </w:rPr>
            </w:pPr>
            <w:r w:rsidRPr="006E5EB2">
              <w:rPr>
                <w:rFonts w:cstheme="minorHAnsi"/>
                <w:b/>
                <w:color w:val="000000"/>
                <w:lang w:eastAsia="en-GB"/>
              </w:rPr>
              <w:t>Rights to object</w:t>
            </w:r>
          </w:p>
          <w:p w:rsidR="00C042D5" w:rsidRPr="006E5EB2" w:rsidRDefault="00C042D5" w:rsidP="00093AB5">
            <w:pPr>
              <w:jc w:val="both"/>
              <w:rPr>
                <w:rFonts w:cstheme="minorHAnsi"/>
              </w:rPr>
            </w:pPr>
          </w:p>
        </w:tc>
        <w:tc>
          <w:tcPr>
            <w:tcW w:w="6611" w:type="dxa"/>
          </w:tcPr>
          <w:p w:rsidR="00C042D5" w:rsidRPr="006E5EB2" w:rsidRDefault="00C042D5" w:rsidP="00093AB5">
            <w:pPr>
              <w:jc w:val="both"/>
              <w:rPr>
                <w:rFonts w:cstheme="minorHAnsi"/>
              </w:rPr>
            </w:pPr>
            <w:r w:rsidRPr="006E5EB2">
              <w:rPr>
                <w:rFonts w:cstheme="minorHAnsi"/>
              </w:rPr>
              <w:t xml:space="preserve">For national screening programmes: you can opt so that you no longer receive an invitation to a screening programme. </w:t>
            </w:r>
          </w:p>
          <w:p w:rsidR="00C042D5" w:rsidRPr="006E5EB2" w:rsidRDefault="00C042D5" w:rsidP="00093AB5">
            <w:pPr>
              <w:jc w:val="both"/>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rsidR="00C042D5" w:rsidRDefault="00C042D5" w:rsidP="00093AB5">
            <w:pPr>
              <w:jc w:val="both"/>
              <w:rPr>
                <w:rFonts w:cstheme="minorHAnsi"/>
              </w:rPr>
            </w:pPr>
          </w:p>
          <w:p w:rsidR="00C042D5" w:rsidRDefault="00C042D5" w:rsidP="00093AB5">
            <w:pPr>
              <w:jc w:val="both"/>
              <w:rPr>
                <w:rFonts w:cstheme="minorHAnsi"/>
              </w:rPr>
            </w:pPr>
            <w:r w:rsidRPr="006E5EB2">
              <w:rPr>
                <w:rFonts w:cstheme="minorHAnsi"/>
              </w:rPr>
              <w:t xml:space="preserve">Or speak to your practice. </w:t>
            </w:r>
          </w:p>
          <w:p w:rsidR="00C042D5" w:rsidRDefault="00C042D5" w:rsidP="00093AB5">
            <w:pPr>
              <w:jc w:val="both"/>
              <w:rPr>
                <w:rFonts w:cstheme="minorHAnsi"/>
                <w:color w:val="000000"/>
                <w:lang w:eastAsia="en-GB"/>
              </w:rPr>
            </w:pPr>
          </w:p>
          <w:p w:rsidR="00C042D5" w:rsidRPr="006E5EB2" w:rsidRDefault="00C042D5" w:rsidP="00093AB5">
            <w:pPr>
              <w:jc w:val="both"/>
              <w:rPr>
                <w:rFonts w:cstheme="minorHAnsi"/>
              </w:rPr>
            </w:pPr>
          </w:p>
        </w:tc>
      </w:tr>
      <w:tr w:rsidR="00C042D5" w:rsidRPr="006E5EB2" w:rsidTr="004F7429">
        <w:tc>
          <w:tcPr>
            <w:tcW w:w="2405" w:type="dxa"/>
          </w:tcPr>
          <w:p w:rsidR="00C042D5" w:rsidRPr="006E5EB2" w:rsidRDefault="00C042D5" w:rsidP="00093AB5">
            <w:pPr>
              <w:jc w:val="both"/>
              <w:rPr>
                <w:rFonts w:cstheme="minorHAnsi"/>
              </w:rPr>
            </w:pPr>
            <w:r w:rsidRPr="006E5EB2">
              <w:rPr>
                <w:rFonts w:cstheme="minorHAnsi"/>
                <w:b/>
                <w:color w:val="000000"/>
                <w:lang w:eastAsia="en-GB"/>
              </w:rPr>
              <w:t>Right to access and correct</w:t>
            </w:r>
          </w:p>
        </w:tc>
        <w:tc>
          <w:tcPr>
            <w:tcW w:w="6611" w:type="dxa"/>
          </w:tcPr>
          <w:p w:rsidR="00B15C7C" w:rsidRDefault="00C042D5" w:rsidP="00093AB5">
            <w:pPr>
              <w:pStyle w:val="ListParagraph"/>
              <w:numPr>
                <w:ilvl w:val="0"/>
                <w:numId w:val="2"/>
              </w:numPr>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B15C7C">
              <w:rPr>
                <w:rFonts w:cstheme="minorHAnsi"/>
                <w:color w:val="000000"/>
                <w:lang w:eastAsia="en-GB"/>
              </w:rPr>
              <w:t xml:space="preserve"> </w:t>
            </w:r>
          </w:p>
          <w:p w:rsidR="00C042D5" w:rsidRDefault="00B15C7C" w:rsidP="00093AB5">
            <w:pPr>
              <w:ind w:left="360"/>
              <w:jc w:val="both"/>
              <w:rPr>
                <w:rFonts w:cstheme="minorHAnsi"/>
                <w:lang w:eastAsia="en-GB"/>
              </w:rPr>
            </w:pPr>
            <w:r>
              <w:rPr>
                <w:rFonts w:cstheme="minorHAnsi"/>
                <w:lang w:eastAsia="en-GB"/>
              </w:rPr>
              <w:t xml:space="preserve">       </w:t>
            </w:r>
            <w:hyperlink r:id="rId13" w:history="1">
              <w:r w:rsidRPr="00F23978">
                <w:rPr>
                  <w:rStyle w:val="Hyperlink"/>
                  <w:rFonts w:cstheme="minorHAnsi"/>
                  <w:lang w:eastAsia="en-GB"/>
                </w:rPr>
                <w:t>http://www.staveleighmedicalcentre.co.uk/</w:t>
              </w:r>
            </w:hyperlink>
          </w:p>
          <w:p w:rsidR="00B15C7C" w:rsidRPr="00B15C7C" w:rsidRDefault="00B15C7C" w:rsidP="00093AB5">
            <w:pPr>
              <w:ind w:left="360"/>
              <w:jc w:val="both"/>
              <w:rPr>
                <w:rFonts w:cstheme="minorHAnsi"/>
                <w:lang w:eastAsia="en-GB"/>
              </w:rPr>
            </w:pPr>
          </w:p>
          <w:p w:rsidR="00C042D5" w:rsidRPr="006929ED" w:rsidRDefault="00C042D5" w:rsidP="00093AB5">
            <w:pPr>
              <w:numPr>
                <w:ilvl w:val="0"/>
                <w:numId w:val="2"/>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rsidTr="004F7429">
        <w:tc>
          <w:tcPr>
            <w:tcW w:w="2405" w:type="dxa"/>
          </w:tcPr>
          <w:p w:rsidR="00C042D5" w:rsidRPr="006E5EB2" w:rsidRDefault="00C042D5" w:rsidP="00093AB5">
            <w:pPr>
              <w:jc w:val="both"/>
              <w:rPr>
                <w:rFonts w:cstheme="minorHAnsi"/>
                <w:b/>
                <w:color w:val="000000"/>
                <w:lang w:eastAsia="en-GB"/>
              </w:rPr>
            </w:pPr>
            <w:r w:rsidRPr="006E5EB2">
              <w:rPr>
                <w:rFonts w:cstheme="minorHAnsi"/>
                <w:b/>
                <w:color w:val="000000"/>
                <w:lang w:eastAsia="en-GB"/>
              </w:rPr>
              <w:t>Retention period</w:t>
            </w:r>
          </w:p>
          <w:p w:rsidR="00C042D5" w:rsidRPr="006E5EB2" w:rsidRDefault="00C042D5" w:rsidP="00093AB5">
            <w:pPr>
              <w:jc w:val="both"/>
              <w:rPr>
                <w:rFonts w:cstheme="minorHAnsi"/>
              </w:rPr>
            </w:pPr>
          </w:p>
        </w:tc>
        <w:tc>
          <w:tcPr>
            <w:tcW w:w="6611" w:type="dxa"/>
          </w:tcPr>
          <w:p w:rsidR="00C042D5" w:rsidRDefault="00C042D5" w:rsidP="00093AB5">
            <w:pPr>
              <w:jc w:val="both"/>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C042D5" w:rsidRDefault="00C042D5" w:rsidP="00093AB5">
            <w:pPr>
              <w:jc w:val="both"/>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C042D5" w:rsidRPr="005306F8" w:rsidRDefault="00C042D5" w:rsidP="00093AB5">
            <w:pPr>
              <w:jc w:val="both"/>
              <w:rPr>
                <w:rFonts w:cstheme="minorHAnsi"/>
                <w:lang w:eastAsia="en-GB"/>
              </w:rPr>
            </w:pPr>
            <w:r>
              <w:rPr>
                <w:rStyle w:val="Hyperlink"/>
                <w:rFonts w:cstheme="minorHAnsi"/>
                <w:color w:val="auto"/>
                <w:u w:val="none"/>
                <w:lang w:eastAsia="en-GB"/>
              </w:rPr>
              <w:t>or speak to the practice.</w:t>
            </w:r>
          </w:p>
          <w:p w:rsidR="00C042D5" w:rsidRPr="006E5EB2" w:rsidRDefault="00C042D5" w:rsidP="00093AB5">
            <w:pPr>
              <w:jc w:val="both"/>
              <w:rPr>
                <w:rFonts w:cstheme="minorHAnsi"/>
              </w:rPr>
            </w:pPr>
          </w:p>
        </w:tc>
      </w:tr>
      <w:tr w:rsidR="00C042D5" w:rsidRPr="006E5EB2" w:rsidTr="004F7429">
        <w:tc>
          <w:tcPr>
            <w:tcW w:w="2405" w:type="dxa"/>
          </w:tcPr>
          <w:p w:rsidR="00C042D5" w:rsidRPr="006E5EB2" w:rsidRDefault="00C042D5" w:rsidP="00093AB5">
            <w:pPr>
              <w:jc w:val="both"/>
              <w:rPr>
                <w:rFonts w:cstheme="minorHAnsi"/>
                <w:b/>
                <w:color w:val="000000"/>
                <w:lang w:eastAsia="en-GB"/>
              </w:rPr>
            </w:pPr>
            <w:r w:rsidRPr="006E5EB2">
              <w:rPr>
                <w:rFonts w:cstheme="minorHAnsi"/>
                <w:b/>
                <w:color w:val="000000"/>
                <w:lang w:eastAsia="en-GB"/>
              </w:rPr>
              <w:t>Right to complain</w:t>
            </w:r>
          </w:p>
          <w:p w:rsidR="00C042D5" w:rsidRPr="006E5EB2" w:rsidRDefault="00C042D5" w:rsidP="00093AB5">
            <w:pPr>
              <w:jc w:val="both"/>
              <w:rPr>
                <w:rFonts w:cstheme="minorHAnsi"/>
              </w:rPr>
            </w:pPr>
          </w:p>
        </w:tc>
        <w:tc>
          <w:tcPr>
            <w:tcW w:w="6611" w:type="dxa"/>
          </w:tcPr>
          <w:p w:rsidR="00C042D5" w:rsidRDefault="00C042D5" w:rsidP="00093AB5">
            <w:pPr>
              <w:jc w:val="both"/>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rsidR="00C042D5" w:rsidRPr="006E5EB2" w:rsidRDefault="00C042D5" w:rsidP="00093AB5">
            <w:pPr>
              <w:jc w:val="both"/>
              <w:rPr>
                <w:rFonts w:cstheme="minorHAnsi"/>
                <w:color w:val="000000"/>
                <w:lang w:eastAsia="en-GB"/>
              </w:rPr>
            </w:pPr>
            <w:r w:rsidRPr="00A41B83">
              <w:rPr>
                <w:rStyle w:val="Hyperlink"/>
                <w:rFonts w:cstheme="minorHAnsi"/>
                <w:color w:val="auto"/>
                <w:lang w:eastAsia="en-GB"/>
              </w:rPr>
              <w:t xml:space="preserve"> </w:t>
            </w:r>
          </w:p>
        </w:tc>
      </w:tr>
      <w:tr w:rsidR="00C042D5" w:rsidRPr="006E5EB2" w:rsidTr="004F7429">
        <w:tc>
          <w:tcPr>
            <w:tcW w:w="2405" w:type="dxa"/>
          </w:tcPr>
          <w:p w:rsidR="00C042D5" w:rsidRPr="006E5EB2" w:rsidRDefault="00C042D5" w:rsidP="00093AB5">
            <w:pPr>
              <w:jc w:val="both"/>
              <w:rPr>
                <w:rFonts w:cstheme="minorHAnsi"/>
              </w:rPr>
            </w:pPr>
            <w:r>
              <w:rPr>
                <w:rFonts w:cstheme="minorHAnsi"/>
                <w:b/>
                <w:color w:val="000000"/>
                <w:lang w:eastAsia="en-GB"/>
              </w:rPr>
              <w:t>Data we get from other organisations</w:t>
            </w:r>
          </w:p>
        </w:tc>
        <w:tc>
          <w:tcPr>
            <w:tcW w:w="6611" w:type="dxa"/>
          </w:tcPr>
          <w:p w:rsidR="00C042D5" w:rsidRPr="006E5EB2" w:rsidRDefault="00C042D5" w:rsidP="00093AB5">
            <w:pPr>
              <w:jc w:val="both"/>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042D5" w:rsidRPr="006E5EB2" w:rsidRDefault="00C042D5" w:rsidP="00093AB5">
      <w:pPr>
        <w:jc w:val="both"/>
        <w:rPr>
          <w:rFonts w:cstheme="minorHAnsi"/>
        </w:rPr>
      </w:pPr>
    </w:p>
    <w:p w:rsidR="00C042D5" w:rsidRDefault="00C042D5" w:rsidP="00093AB5">
      <w:pPr>
        <w:jc w:val="both"/>
      </w:pPr>
    </w:p>
    <w:p w:rsidR="00B750C7" w:rsidRDefault="00B750C7" w:rsidP="00093AB5">
      <w:pPr>
        <w:jc w:val="both"/>
      </w:pPr>
    </w:p>
    <w:sectPr w:rsidR="00B750C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0326" w:rsidRDefault="00A70326">
      <w:pPr>
        <w:spacing w:after="0" w:line="240" w:lineRule="auto"/>
      </w:pPr>
      <w:r>
        <w:separator/>
      </w:r>
    </w:p>
  </w:endnote>
  <w:endnote w:type="continuationSeparator" w:id="0">
    <w:p w:rsidR="00A70326" w:rsidRDefault="00A7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Bold">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0326" w:rsidRDefault="00A70326">
      <w:pPr>
        <w:spacing w:after="0" w:line="240" w:lineRule="auto"/>
      </w:pPr>
      <w:r>
        <w:separator/>
      </w:r>
    </w:p>
  </w:footnote>
  <w:footnote w:type="continuationSeparator" w:id="0">
    <w:p w:rsidR="00A70326" w:rsidRDefault="00A7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030C" w:rsidRDefault="00093AB5">
    <w:pPr>
      <w:pStyle w:val="Header"/>
    </w:pPr>
    <w:r w:rsidRPr="00093AB5">
      <w:rPr>
        <w:noProof/>
        <w:lang w:eastAsia="en-GB"/>
      </w:rPr>
      <w:drawing>
        <wp:anchor distT="0" distB="0" distL="114300" distR="114300" simplePos="0" relativeHeight="251657216" behindDoc="1" locked="0" layoutInCell="1" allowOverlap="1" wp14:anchorId="1A01F8E4" wp14:editId="58B610AD">
          <wp:simplePos x="0" y="0"/>
          <wp:positionH relativeFrom="column">
            <wp:posOffset>4543425</wp:posOffset>
          </wp:positionH>
          <wp:positionV relativeFrom="paragraph">
            <wp:posOffset>-182880</wp:posOffset>
          </wp:positionV>
          <wp:extent cx="1685925" cy="638810"/>
          <wp:effectExtent l="0" t="0" r="9525" b="8890"/>
          <wp:wrapTight wrapText="bothSides">
            <wp:wrapPolygon edited="0">
              <wp:start x="0" y="0"/>
              <wp:lineTo x="0" y="21256"/>
              <wp:lineTo x="21478" y="21256"/>
              <wp:lineTo x="21478" y="0"/>
              <wp:lineTo x="0" y="0"/>
            </wp:wrapPolygon>
          </wp:wrapTight>
          <wp:docPr id="1" name="Picture 1" descr="\\tggp-p89007-app01\Home$\martin.tur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p-p89007-app01\Home$\martin.turn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388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79177214"/>
        <w:docPartObj>
          <w:docPartGallery w:val="Watermarks"/>
          <w:docPartUnique/>
        </w:docPartObj>
      </w:sdtPr>
      <w:sdtEndPr/>
      <w:sdtContent>
        <w:r w:rsidR="00A70326">
          <w:rPr>
            <w:noProof/>
          </w:rPr>
          <w:pict w14:anchorId="5BAAB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D5"/>
    <w:rsid w:val="00093AB5"/>
    <w:rsid w:val="0044335B"/>
    <w:rsid w:val="005C7CE7"/>
    <w:rsid w:val="008D23F4"/>
    <w:rsid w:val="00A70326"/>
    <w:rsid w:val="00B15C7C"/>
    <w:rsid w:val="00B750C7"/>
    <w:rsid w:val="00C042D5"/>
    <w:rsid w:val="00C56583"/>
    <w:rsid w:val="00CB34DA"/>
    <w:rsid w:val="00E224DF"/>
    <w:rsid w:val="00F1222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0427F"/>
  <w15:docId w15:val="{8CB246E6-D858-4145-BFDC-AF9EF59B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veleighmedicalcent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gov.uk/topic/population-screening-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rticle/1202/Records-Management-Code-of-Practice-for-Health-and-Social-Car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Sam Gledhill</cp:lastModifiedBy>
  <cp:revision>1</cp:revision>
  <dcterms:created xsi:type="dcterms:W3CDTF">2020-11-23T10:22:00Z</dcterms:created>
  <dcterms:modified xsi:type="dcterms:W3CDTF">2020-11-23T10:22:00Z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